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DCA1" w14:textId="6DAB5D83" w:rsidR="3721CB8D" w:rsidRPr="00795B3F" w:rsidRDefault="0095241E" w:rsidP="00795B3F">
      <w:pPr>
        <w:pStyle w:val="Heading1"/>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5D0E94" w:rsidRPr="00795B3F">
        <w:rPr>
          <w:rFonts w:ascii="Open Sans SemiBold" w:hAnsi="Open Sans SemiBold" w:cs="Open Sans SemiBold"/>
          <w:color w:val="004848"/>
        </w:rPr>
        <w:t xml:space="preserve"> Phosphorus </w:t>
      </w:r>
      <w:r w:rsidR="00377E1F">
        <w:rPr>
          <w:rFonts w:ascii="Open Sans SemiBold" w:hAnsi="Open Sans SemiBold" w:cs="Open Sans SemiBold"/>
          <w:color w:val="004848"/>
        </w:rPr>
        <w:t xml:space="preserve">Loading </w:t>
      </w:r>
      <w:r>
        <w:rPr>
          <w:rFonts w:ascii="Open Sans SemiBold" w:hAnsi="Open Sans SemiBold" w:cs="Open Sans SemiBold"/>
          <w:color w:val="004848"/>
        </w:rPr>
        <w:t>and System Capacity</w:t>
      </w:r>
    </w:p>
    <w:p w14:paraId="3F0191E4" w14:textId="1A4E3F39" w:rsidR="3EB168DF" w:rsidRPr="002B42CB" w:rsidRDefault="005D0E94" w:rsidP="00E962EA">
      <w:pPr>
        <w:widowControl w:val="0"/>
        <w:spacing w:after="0" w:line="240" w:lineRule="auto"/>
      </w:pPr>
      <w:r>
        <w:rPr>
          <w:noProof/>
        </w:rPr>
        <w:drawing>
          <wp:anchor distT="0" distB="0" distL="114300" distR="114300" simplePos="0" relativeHeight="251666432" behindDoc="0" locked="0" layoutInCell="1" allowOverlap="1" wp14:anchorId="1A49A438" wp14:editId="6D7570FA">
            <wp:simplePos x="0" y="0"/>
            <wp:positionH relativeFrom="column">
              <wp:posOffset>3050540</wp:posOffset>
            </wp:positionH>
            <wp:positionV relativeFrom="paragraph">
              <wp:posOffset>95885</wp:posOffset>
            </wp:positionV>
            <wp:extent cx="3593566" cy="2130950"/>
            <wp:effectExtent l="0" t="0" r="6985" b="3175"/>
            <wp:wrapNone/>
            <wp:docPr id="57" name="Picture 57"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3566" cy="2130950"/>
                    </a:xfrm>
                    <a:prstGeom prst="rect">
                      <a:avLst/>
                    </a:prstGeom>
                    <a:noFill/>
                  </pic:spPr>
                </pic:pic>
              </a:graphicData>
            </a:graphic>
            <wp14:sizeRelH relativeFrom="margin">
              <wp14:pctWidth>0</wp14:pctWidth>
            </wp14:sizeRelH>
            <wp14:sizeRelV relativeFrom="margin">
              <wp14:pctHeight>0</wp14:pctHeight>
            </wp14:sizeRelV>
          </wp:anchor>
        </w:drawing>
      </w:r>
    </w:p>
    <w:p w14:paraId="0A738F01" w14:textId="4D7C1544" w:rsidR="00EE401F" w:rsidRPr="00C92DF6" w:rsidRDefault="00D065C4"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4A621B">
        <w:rPr>
          <w:rFonts w:ascii="Open Sans SemiBold" w:hAnsi="Open Sans SemiBold" w:cs="Open Sans SemiBold"/>
          <w:sz w:val="28"/>
          <w:szCs w:val="28"/>
          <w:u w:val="single"/>
        </w:rPr>
        <w:t>Stressor:</w:t>
      </w:r>
      <w:r w:rsidRPr="00CE7299">
        <w:rPr>
          <w:rFonts w:ascii="Segoe UI" w:hAnsi="Segoe UI" w:cs="Segoe UI"/>
        </w:rPr>
        <w:t xml:space="preserve"> </w:t>
      </w:r>
      <w:r w:rsidR="0009405B" w:rsidRPr="000410AD">
        <w:rPr>
          <w:rFonts w:ascii="Open Sans" w:eastAsiaTheme="minorEastAsia" w:hAnsi="Open Sans" w:cs="Open Sans"/>
          <w:color w:val="auto"/>
          <w:sz w:val="24"/>
          <w:szCs w:val="24"/>
        </w:rPr>
        <w:t>Phosphorus</w:t>
      </w:r>
      <w:r w:rsidR="00AE68C4" w:rsidRPr="000410AD">
        <w:rPr>
          <w:rFonts w:ascii="Open Sans" w:eastAsiaTheme="minorEastAsia" w:hAnsi="Open Sans" w:cs="Open Sans"/>
          <w:color w:val="auto"/>
          <w:sz w:val="24"/>
          <w:szCs w:val="24"/>
        </w:rPr>
        <w:t xml:space="preserve"> (tonnes/ha/y</w:t>
      </w:r>
      <w:r w:rsidR="00F23578" w:rsidRPr="000410AD">
        <w:rPr>
          <w:rFonts w:ascii="Open Sans" w:eastAsiaTheme="minorEastAsia" w:hAnsi="Open Sans" w:cs="Open Sans"/>
          <w:color w:val="auto"/>
          <w:sz w:val="24"/>
          <w:szCs w:val="24"/>
        </w:rPr>
        <w:t>ea</w:t>
      </w:r>
      <w:r w:rsidR="00AE68C4" w:rsidRPr="000410AD">
        <w:rPr>
          <w:rFonts w:ascii="Open Sans" w:eastAsiaTheme="minorEastAsia" w:hAnsi="Open Sans" w:cs="Open Sans"/>
          <w:color w:val="auto"/>
          <w:sz w:val="24"/>
          <w:szCs w:val="24"/>
        </w:rPr>
        <w:t>r)</w:t>
      </w:r>
    </w:p>
    <w:p w14:paraId="504D6B01" w14:textId="2A72B512" w:rsidR="00E962EA" w:rsidRPr="00E962EA" w:rsidRDefault="00E962EA" w:rsidP="00E962EA">
      <w:pPr>
        <w:spacing w:after="0" w:line="240" w:lineRule="auto"/>
        <w:ind w:left="1440" w:hanging="1440"/>
      </w:pPr>
    </w:p>
    <w:p w14:paraId="11860792" w14:textId="28BCA360" w:rsidR="00041823" w:rsidRPr="00AA3B6D"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4A621B">
        <w:rPr>
          <w:rFonts w:ascii="Open Sans SemiBold" w:hAnsi="Open Sans SemiBold" w:cs="Open Sans SemiBold"/>
          <w:sz w:val="28"/>
          <w:szCs w:val="28"/>
          <w:u w:val="single"/>
        </w:rPr>
        <w:t>Response:</w:t>
      </w:r>
      <w:r w:rsidRPr="00AA3B6D">
        <w:rPr>
          <w:rFonts w:cstheme="majorHAnsi"/>
        </w:rPr>
        <w:t xml:space="preserve"> </w:t>
      </w:r>
      <w:r w:rsidR="00064DDD" w:rsidRPr="000410AD">
        <w:rPr>
          <w:rFonts w:ascii="Open Sans" w:eastAsiaTheme="minorEastAsia" w:hAnsi="Open Sans" w:cs="Open Sans"/>
          <w:color w:val="auto"/>
          <w:sz w:val="24"/>
          <w:szCs w:val="24"/>
        </w:rPr>
        <w:t>System Capacity (</w:t>
      </w:r>
      <w:r w:rsidR="00FB7841" w:rsidRPr="000410AD">
        <w:rPr>
          <w:rFonts w:ascii="Open Sans" w:eastAsiaTheme="minorEastAsia" w:hAnsi="Open Sans" w:cs="Open Sans"/>
          <w:color w:val="auto"/>
          <w:sz w:val="24"/>
          <w:szCs w:val="24"/>
        </w:rPr>
        <w:t>%)</w:t>
      </w:r>
    </w:p>
    <w:p w14:paraId="6BF4EB18" w14:textId="47BE044E" w:rsidR="00E962EA" w:rsidRPr="00E962EA" w:rsidRDefault="00E962EA" w:rsidP="00E962EA"/>
    <w:p w14:paraId="43DBCC05" w14:textId="77777777" w:rsidR="002F62F6" w:rsidRPr="00934319" w:rsidRDefault="002F62F6" w:rsidP="002F62F6">
      <w:pPr>
        <w:pStyle w:val="Heading1"/>
        <w:keepNext w:val="0"/>
        <w:keepLines w:val="0"/>
        <w:widowControl w:val="0"/>
        <w:spacing w:before="0" w:line="240" w:lineRule="auto"/>
        <w:ind w:left="2016" w:hanging="2016"/>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Species:</w:t>
      </w:r>
      <w:r w:rsidRPr="00AA3B6D">
        <w:rPr>
          <w:rFonts w:cstheme="majorHAnsi"/>
        </w:rPr>
        <w:t xml:space="preserve"> </w:t>
      </w:r>
      <w:r w:rsidRPr="00934319">
        <w:rPr>
          <w:rFonts w:ascii="Open Sans" w:eastAsiaTheme="minorEastAsia" w:hAnsi="Open Sans" w:cs="Open Sans"/>
          <w:color w:val="auto"/>
          <w:sz w:val="24"/>
          <w:szCs w:val="24"/>
        </w:rPr>
        <w:t xml:space="preserve">Athabasca Rainbow Trout </w:t>
      </w:r>
    </w:p>
    <w:p w14:paraId="173A847D" w14:textId="323B7F64" w:rsidR="002F62F6" w:rsidRPr="00934319" w:rsidRDefault="002F62F6" w:rsidP="002F62F6">
      <w:pPr>
        <w:pStyle w:val="Heading1"/>
        <w:keepNext w:val="0"/>
        <w:keepLines w:val="0"/>
        <w:widowControl w:val="0"/>
        <w:spacing w:before="0" w:line="240" w:lineRule="auto"/>
        <w:ind w:left="2016" w:hanging="576"/>
        <w:rPr>
          <w:rFonts w:ascii="Open Sans" w:eastAsiaTheme="minorEastAsia" w:hAnsi="Open Sans" w:cs="Open Sans"/>
          <w:color w:val="auto"/>
          <w:sz w:val="24"/>
          <w:szCs w:val="24"/>
        </w:rPr>
      </w:pPr>
      <w:r w:rsidRPr="00934319">
        <w:rPr>
          <w:rFonts w:ascii="Open Sans" w:eastAsiaTheme="minorEastAsia" w:hAnsi="Open Sans" w:cs="Open Sans"/>
          <w:color w:val="auto"/>
          <w:sz w:val="24"/>
          <w:szCs w:val="24"/>
        </w:rPr>
        <w:t>(</w:t>
      </w:r>
      <w:r w:rsidRPr="00934319">
        <w:rPr>
          <w:rFonts w:ascii="Open Sans" w:eastAsiaTheme="minorEastAsia" w:hAnsi="Open Sans" w:cs="Open Sans"/>
          <w:i/>
          <w:iCs/>
          <w:color w:val="auto"/>
          <w:sz w:val="24"/>
          <w:szCs w:val="24"/>
        </w:rPr>
        <w:t>Oncorhynchus mykiss</w:t>
      </w:r>
      <w:r w:rsidRPr="00934319">
        <w:rPr>
          <w:rFonts w:ascii="Open Sans" w:eastAsiaTheme="minorEastAsia" w:hAnsi="Open Sans" w:cs="Open Sans"/>
          <w:color w:val="auto"/>
          <w:sz w:val="24"/>
          <w:szCs w:val="24"/>
        </w:rPr>
        <w:t>)</w:t>
      </w:r>
    </w:p>
    <w:p w14:paraId="14E7AF3D" w14:textId="77777777" w:rsidR="002F62F6" w:rsidRDefault="002F62F6" w:rsidP="00360F36">
      <w:pPr>
        <w:pStyle w:val="Heading1"/>
        <w:keepNext w:val="0"/>
        <w:keepLines w:val="0"/>
        <w:widowControl w:val="0"/>
        <w:spacing w:before="0" w:line="240" w:lineRule="auto"/>
        <w:rPr>
          <w:rFonts w:cstheme="majorHAnsi"/>
          <w:b/>
          <w:bCs/>
          <w:u w:val="single"/>
        </w:rPr>
      </w:pPr>
    </w:p>
    <w:p w14:paraId="336FD5AA" w14:textId="31CCB27A" w:rsidR="003C3F8D" w:rsidRPr="000410AD" w:rsidRDefault="00887B95" w:rsidP="00360F36">
      <w:pPr>
        <w:pStyle w:val="Heading1"/>
        <w:keepNext w:val="0"/>
        <w:keepLines w:val="0"/>
        <w:widowControl w:val="0"/>
        <w:spacing w:before="0" w:line="240" w:lineRule="auto"/>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Life Stage:</w:t>
      </w:r>
      <w:r w:rsidRPr="00AA3B6D">
        <w:rPr>
          <w:rFonts w:cstheme="majorHAnsi"/>
        </w:rPr>
        <w:t xml:space="preserve"> </w:t>
      </w:r>
      <w:r w:rsidR="00360F36" w:rsidRPr="000410AD">
        <w:rPr>
          <w:rFonts w:ascii="Open Sans" w:eastAsiaTheme="minorEastAsia" w:hAnsi="Open Sans" w:cs="Open Sans"/>
          <w:color w:val="auto"/>
          <w:sz w:val="24"/>
          <w:szCs w:val="24"/>
        </w:rPr>
        <w:t>adult</w:t>
      </w:r>
    </w:p>
    <w:p w14:paraId="4FEC31FB" w14:textId="77777777" w:rsidR="00E962EA" w:rsidRPr="00E962EA" w:rsidRDefault="00E962EA" w:rsidP="00E962EA"/>
    <w:p w14:paraId="2A6634FF" w14:textId="77777777" w:rsidR="000F2ACA" w:rsidRPr="00AA3B6D" w:rsidRDefault="000F2ACA" w:rsidP="000F2ACA">
      <w:pPr>
        <w:pStyle w:val="Heading1"/>
        <w:keepNext w:val="0"/>
        <w:keepLines w:val="0"/>
        <w:widowControl w:val="0"/>
        <w:spacing w:before="0" w:line="240" w:lineRule="auto"/>
        <w:ind w:left="2016" w:hanging="2016"/>
        <w:rPr>
          <w:rFonts w:cstheme="majorHAnsi"/>
          <w:color w:val="auto"/>
          <w:sz w:val="28"/>
          <w:szCs w:val="28"/>
        </w:rPr>
      </w:pPr>
      <w:r w:rsidRPr="004A621B">
        <w:rPr>
          <w:rFonts w:ascii="Open Sans SemiBold" w:hAnsi="Open Sans SemiBold" w:cs="Open Sans SemiBold"/>
          <w:sz w:val="28"/>
          <w:szCs w:val="28"/>
          <w:u w:val="single"/>
        </w:rPr>
        <w:t>System:</w:t>
      </w:r>
      <w:r w:rsidRPr="00AA3B6D">
        <w:rPr>
          <w:rFonts w:cstheme="majorHAnsi"/>
        </w:rPr>
        <w:t xml:space="preserve"> </w:t>
      </w:r>
      <w:r w:rsidRPr="000410AD">
        <w:rPr>
          <w:rFonts w:ascii="Open Sans" w:eastAsiaTheme="minorEastAsia" w:hAnsi="Open Sans" w:cs="Open Sans"/>
          <w:color w:val="auto"/>
          <w:sz w:val="24"/>
          <w:szCs w:val="24"/>
        </w:rPr>
        <w:t>Alberta foothills watersheds, excluding National Parks</w:t>
      </w:r>
    </w:p>
    <w:p w14:paraId="2BF9B157" w14:textId="77777777" w:rsidR="00E962EA" w:rsidRPr="00E962EA" w:rsidRDefault="00E962EA" w:rsidP="00E962EA"/>
    <w:p w14:paraId="6946D473" w14:textId="77909BC4" w:rsidR="00164660" w:rsidRPr="000410AD" w:rsidRDefault="0D60F6D8" w:rsidP="00E962EA">
      <w:pPr>
        <w:pStyle w:val="Heading1"/>
        <w:keepNext w:val="0"/>
        <w:keepLines w:val="0"/>
        <w:widowControl w:val="0"/>
        <w:spacing w:before="0" w:line="240" w:lineRule="auto"/>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Function</w:t>
      </w:r>
      <w:r w:rsidR="5D2C5D7E" w:rsidRPr="004A621B">
        <w:rPr>
          <w:rFonts w:ascii="Open Sans SemiBold" w:hAnsi="Open Sans SemiBold" w:cs="Open Sans SemiBold"/>
          <w:sz w:val="28"/>
          <w:szCs w:val="28"/>
          <w:u w:val="single"/>
        </w:rPr>
        <w:t xml:space="preserve"> Derivation</w:t>
      </w:r>
      <w:r w:rsidR="2AEA4719" w:rsidRPr="004A621B">
        <w:rPr>
          <w:rFonts w:ascii="Open Sans SemiBold" w:hAnsi="Open Sans SemiBold" w:cs="Open Sans SemiBold"/>
          <w:sz w:val="28"/>
          <w:szCs w:val="28"/>
          <w:u w:val="single"/>
        </w:rPr>
        <w:t>:</w:t>
      </w:r>
      <w:r w:rsidR="2AEA4719" w:rsidRPr="003013BC">
        <w:rPr>
          <w:rFonts w:cstheme="majorHAnsi"/>
        </w:rPr>
        <w:t xml:space="preserve"> </w:t>
      </w:r>
      <w:r w:rsidR="000D648C" w:rsidRPr="000410AD">
        <w:rPr>
          <w:rFonts w:ascii="Open Sans" w:eastAsiaTheme="minorEastAsia" w:hAnsi="Open Sans" w:cs="Open Sans"/>
          <w:color w:val="auto"/>
          <w:sz w:val="24"/>
          <w:szCs w:val="24"/>
        </w:rPr>
        <w:t>landscape correlation</w:t>
      </w:r>
    </w:p>
    <w:p w14:paraId="38BF7949" w14:textId="77777777" w:rsidR="00E962EA" w:rsidRPr="000410AD" w:rsidRDefault="00E962EA" w:rsidP="000410AD">
      <w:pPr>
        <w:pStyle w:val="Heading1"/>
        <w:keepNext w:val="0"/>
        <w:keepLines w:val="0"/>
        <w:widowControl w:val="0"/>
        <w:spacing w:before="0" w:line="240" w:lineRule="auto"/>
        <w:rPr>
          <w:rFonts w:ascii="Open Sans" w:eastAsiaTheme="minorEastAsia" w:hAnsi="Open Sans" w:cs="Open Sans"/>
          <w:color w:val="auto"/>
          <w:sz w:val="24"/>
          <w:szCs w:val="24"/>
        </w:rPr>
      </w:pPr>
    </w:p>
    <w:p w14:paraId="3B072ABE" w14:textId="573F0132" w:rsidR="00AF46BA" w:rsidRDefault="3D17529D" w:rsidP="000410AD">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Transferability</w:t>
      </w:r>
      <w:r w:rsidR="59B482CC" w:rsidRPr="004A621B">
        <w:rPr>
          <w:rFonts w:ascii="Open Sans SemiBold" w:hAnsi="Open Sans SemiBold" w:cs="Open Sans SemiBold"/>
          <w:sz w:val="28"/>
          <w:szCs w:val="28"/>
          <w:u w:val="single"/>
        </w:rPr>
        <w:t xml:space="preserve"> of </w:t>
      </w:r>
      <w:r w:rsidR="32994C73" w:rsidRPr="004A621B">
        <w:rPr>
          <w:rFonts w:ascii="Open Sans SemiBold" w:hAnsi="Open Sans SemiBold" w:cs="Open Sans SemiBold"/>
          <w:sz w:val="28"/>
          <w:szCs w:val="28"/>
          <w:u w:val="single"/>
        </w:rPr>
        <w:t>Function</w:t>
      </w:r>
      <w:r w:rsidRPr="004A621B">
        <w:rPr>
          <w:rFonts w:ascii="Open Sans SemiBold" w:hAnsi="Open Sans SemiBold" w:cs="Open Sans SemiBold"/>
          <w:sz w:val="28"/>
          <w:szCs w:val="28"/>
          <w:u w:val="single"/>
        </w:rPr>
        <w:t>:</w:t>
      </w:r>
      <w:r w:rsidR="1384BB29" w:rsidRPr="003013BC">
        <w:rPr>
          <w:rFonts w:cstheme="majorHAnsi"/>
          <w:color w:val="auto"/>
        </w:rPr>
        <w:t xml:space="preserve"> </w:t>
      </w:r>
      <w:r w:rsidR="00BD5C40" w:rsidRPr="00E44031">
        <w:rPr>
          <w:rFonts w:ascii="Open Sans" w:hAnsi="Open Sans" w:cs="Open Sans"/>
          <w:color w:val="auto"/>
          <w:sz w:val="24"/>
          <w:szCs w:val="24"/>
        </w:rPr>
        <w:t xml:space="preserve">This function </w:t>
      </w:r>
      <w:r w:rsidR="00BD5C40">
        <w:rPr>
          <w:rFonts w:ascii="Open Sans" w:hAnsi="Open Sans" w:cs="Open Sans"/>
          <w:color w:val="auto"/>
          <w:sz w:val="24"/>
          <w:szCs w:val="24"/>
        </w:rPr>
        <w:t>was applied to the</w:t>
      </w:r>
      <w:r w:rsidR="00BD5C40" w:rsidRPr="00E44031">
        <w:rPr>
          <w:rFonts w:ascii="Open Sans" w:hAnsi="Open Sans" w:cs="Open Sans"/>
          <w:color w:val="auto"/>
          <w:sz w:val="24"/>
          <w:szCs w:val="24"/>
        </w:rPr>
        <w:t xml:space="preserve"> three species for which it was developed (Bull Trout, Athabasca Rainbow Trout, and Westslope Cutthroat Trout) </w:t>
      </w:r>
      <w:r w:rsidR="00217798" w:rsidRPr="000410AD">
        <w:rPr>
          <w:rFonts w:ascii="Open Sans" w:eastAsiaTheme="minorEastAsia" w:hAnsi="Open Sans" w:cs="Open Sans"/>
          <w:color w:val="auto"/>
          <w:sz w:val="24"/>
          <w:szCs w:val="24"/>
        </w:rPr>
        <w:t>within the Alberta range</w:t>
      </w:r>
      <w:r w:rsidR="00D30BA6" w:rsidRPr="000410AD">
        <w:rPr>
          <w:rFonts w:ascii="Open Sans" w:eastAsiaTheme="minorEastAsia" w:hAnsi="Open Sans" w:cs="Open Sans"/>
          <w:color w:val="auto"/>
          <w:sz w:val="24"/>
          <w:szCs w:val="24"/>
        </w:rPr>
        <w:t>.</w:t>
      </w:r>
      <w:r w:rsidR="00A02836" w:rsidRPr="000410AD">
        <w:rPr>
          <w:rFonts w:ascii="Open Sans" w:eastAsiaTheme="minorEastAsia" w:hAnsi="Open Sans" w:cs="Open Sans"/>
          <w:color w:val="auto"/>
          <w:sz w:val="24"/>
          <w:szCs w:val="24"/>
        </w:rPr>
        <w:t xml:space="preserve"> </w:t>
      </w:r>
      <w:r w:rsidR="00CC2DBB" w:rsidRPr="000410AD">
        <w:rPr>
          <w:rFonts w:ascii="Open Sans" w:eastAsiaTheme="minorEastAsia" w:hAnsi="Open Sans" w:cs="Open Sans"/>
          <w:color w:val="auto"/>
          <w:sz w:val="24"/>
          <w:szCs w:val="24"/>
        </w:rPr>
        <w:t xml:space="preserve">While </w:t>
      </w:r>
      <w:r w:rsidR="00217798" w:rsidRPr="000410AD">
        <w:rPr>
          <w:rFonts w:ascii="Open Sans" w:eastAsiaTheme="minorEastAsia" w:hAnsi="Open Sans" w:cs="Open Sans"/>
          <w:color w:val="auto"/>
          <w:sz w:val="24"/>
          <w:szCs w:val="24"/>
        </w:rPr>
        <w:t>phosphorus loading has been shown to influence many aquatic systems</w:t>
      </w:r>
      <w:r w:rsidR="00A23990" w:rsidRPr="000410AD">
        <w:rPr>
          <w:rFonts w:ascii="Open Sans" w:eastAsiaTheme="minorEastAsia" w:hAnsi="Open Sans" w:cs="Open Sans"/>
          <w:color w:val="auto"/>
          <w:sz w:val="24"/>
          <w:szCs w:val="24"/>
        </w:rPr>
        <w:t xml:space="preserve">, this function should be applied to other species with caution. </w:t>
      </w:r>
    </w:p>
    <w:p w14:paraId="6C24459D" w14:textId="77777777" w:rsidR="00DA145E" w:rsidRPr="00DA145E" w:rsidRDefault="00DA145E" w:rsidP="00DA145E"/>
    <w:p w14:paraId="4E5CDD07" w14:textId="77777777" w:rsidR="00DA145E" w:rsidRDefault="00DA145E" w:rsidP="00DA145E">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26F93345" w14:textId="77777777" w:rsidR="00FF74ED" w:rsidRPr="00D87E0A" w:rsidRDefault="00FF74ED">
      <w:pPr>
        <w:rPr>
          <w:rFonts w:asciiTheme="majorHAnsi" w:eastAsiaTheme="majorEastAsia" w:hAnsiTheme="majorHAnsi" w:cstheme="majorHAnsi"/>
          <w:b/>
          <w:bCs/>
          <w:color w:val="2F5496" w:themeColor="accent1" w:themeShade="BF"/>
          <w:sz w:val="28"/>
          <w:szCs w:val="28"/>
          <w:u w:val="single"/>
        </w:rPr>
      </w:pPr>
      <w:r w:rsidRPr="00D87E0A">
        <w:rPr>
          <w:rFonts w:cstheme="majorHAnsi"/>
          <w:b/>
          <w:bCs/>
          <w:sz w:val="28"/>
          <w:szCs w:val="28"/>
          <w:u w:val="single"/>
        </w:rPr>
        <w:br w:type="page"/>
      </w:r>
    </w:p>
    <w:p w14:paraId="5EBA76D6" w14:textId="6A24F5DE" w:rsidR="2F9CA283" w:rsidRPr="005C69B5" w:rsidRDefault="16666FFA" w:rsidP="005C69B5">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D</w:t>
      </w:r>
      <w:r w:rsidR="008D3EF1" w:rsidRPr="005C69B5">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14E88A8A" w14:textId="77777777" w:rsidR="001D198E" w:rsidRPr="004A621B" w:rsidRDefault="001D198E" w:rsidP="001D198E">
      <w:pPr>
        <w:jc w:val="both"/>
        <w:rPr>
          <w:rFonts w:ascii="Open Sans SemiBold" w:eastAsiaTheme="majorEastAsia" w:hAnsi="Open Sans SemiBold" w:cs="Open Sans SemiBold"/>
          <w:color w:val="2F5496" w:themeColor="accent1" w:themeShade="BF"/>
          <w:sz w:val="28"/>
          <w:szCs w:val="28"/>
          <w:u w:val="single"/>
        </w:rPr>
      </w:pPr>
      <w:r w:rsidRPr="004A621B">
        <w:rPr>
          <w:rFonts w:ascii="Open Sans SemiBold" w:eastAsiaTheme="majorEastAsia" w:hAnsi="Open Sans SemiBold" w:cs="Open Sans SemiBold"/>
          <w:color w:val="2F5496" w:themeColor="accent1" w:themeShade="BF"/>
          <w:sz w:val="28"/>
          <w:szCs w:val="28"/>
          <w:u w:val="single"/>
        </w:rPr>
        <w:t xml:space="preserve">Derivation of the function: </w:t>
      </w:r>
    </w:p>
    <w:p w14:paraId="44E4DD6F" w14:textId="13C68983" w:rsidR="00C37521" w:rsidRPr="004A621B" w:rsidRDefault="00C37521" w:rsidP="00C37521">
      <w:pPr>
        <w:jc w:val="both"/>
        <w:rPr>
          <w:rFonts w:ascii="Open Sans" w:hAnsi="Open Sans" w:cs="Open Sans"/>
        </w:rPr>
      </w:pPr>
      <w:r w:rsidRPr="004A621B">
        <w:rPr>
          <w:rFonts w:ascii="Open Sans" w:hAnsi="Open Sans" w:cs="Open Sans"/>
        </w:rPr>
        <w:t xml:space="preserve">Phosphorus is a major driver of primary production in aquatic ecosystems that affects other biotic and abiotic factors. Low-level inputs of phosphorus during oligotrophic stream fertilization projects in B.C. have resulted in increased fish size and abundance due to substantial increases in trophic productivity with limited impact to water quality (Koning et al. 1998). However, higher levels of nutrient inputs lead to stream eutrophication and degraded water quality, including reduced nocturnal dissolved oxygen in summer (Chung 2013; Jacobsen and Marin 2008) and overall anoxic conditions that can impair biodiversity (Meijering 1991). For example, degraded stream habitats and fish winterkill conditions in Alberta foothills were correlated with theoretical increases in phosphorus runoff due to land use at the watershed scale (Norris 2012). </w:t>
      </w:r>
    </w:p>
    <w:p w14:paraId="1B0FB9C7"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phosphorus stressor-response curve was developed using potential phosphorous loading estimates and current FSA risk categories for the three native trout species trout (see MacPherson et al. 2019; AEP 2013). FSA risk categories vary from 0 (functionally extirpated) to 5 (very low risk). The potential phosphorous loading estimate for each watershed was obtained using ALCES© online. Phosphorus runoff was measured as a potential loading value for each watershed (tonnes/ha/year). </w:t>
      </w:r>
    </w:p>
    <w:p w14:paraId="4556C196"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stressor-response curve was derived by: a) using logistic regression to develop a statistical model relating probability of being within a given FSA category to the log-transformed phosphorous loading estimate; and, b) converting this statistical model into a stressor-response curve relating phosphorus to a percent reduction native trout system capacity from a pristine reference condition.  Proportional-odds logistic regression was used since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2C4D7D79"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stressor-response curve was derived from the proportional-odds logistic-regression models by estimating phosphorous loading estimates required for a 90% probability of falling within a given FSA category.  This is similar logic to quantile regression (Cade and Noon 2003) that recognizes numerous unaccounted factors can be driving a response variable.  FSA categories were converted to percent of reference condition using population percentages at transition points between adjacent FSA categories.  </w:t>
      </w:r>
    </w:p>
    <w:p w14:paraId="49C5CDAF" w14:textId="25F73CEF" w:rsidR="00C739AD" w:rsidRPr="004A621B" w:rsidRDefault="00C37521" w:rsidP="00C37521">
      <w:pPr>
        <w:jc w:val="both"/>
        <w:rPr>
          <w:rFonts w:ascii="Open Sans" w:hAnsi="Open Sans" w:cs="Open Sans"/>
        </w:rPr>
      </w:pPr>
      <w:r w:rsidRPr="004A621B">
        <w:rPr>
          <w:rFonts w:ascii="Open Sans" w:hAnsi="Open Sans" w:cs="Open Sans"/>
        </w:rPr>
        <w:t xml:space="preserve">The FSA risk category for trout was rarely 3 or better when phosphorus loading potential was ≥0.1 tonnes/ha/year. No watersheds with a FSA risk category of 5 were observed.  There was </w:t>
      </w:r>
      <w:r w:rsidRPr="004A621B">
        <w:rPr>
          <w:rFonts w:ascii="Open Sans" w:hAnsi="Open Sans" w:cs="Open Sans"/>
        </w:rPr>
        <w:lastRenderedPageBreak/>
        <w:t xml:space="preserve">a significant phosphorus level effect (slope = -0.42, 95% profile confidence interval -0.65 to -0.21) with the probability of a watershed being within a lower FSA category increasing with phosphorus loading. From these probability distributions, the stressor-response for system capacity for the 3 native trout species at a given phosphorus loading estimate was developed (Figure </w:t>
      </w:r>
      <w:r w:rsidR="00533E7D" w:rsidRPr="004A621B">
        <w:rPr>
          <w:rFonts w:ascii="Open Sans" w:hAnsi="Open Sans" w:cs="Open Sans"/>
        </w:rPr>
        <w:t>1</w:t>
      </w:r>
      <w:r w:rsidRPr="004A621B">
        <w:rPr>
          <w:rFonts w:ascii="Open Sans" w:hAnsi="Open Sans" w:cs="Open Sans"/>
        </w:rPr>
        <w:t>).</w:t>
      </w:r>
    </w:p>
    <w:p w14:paraId="662C598F" w14:textId="16CDCD1A" w:rsidR="009D0E37" w:rsidRPr="004A621B" w:rsidRDefault="009D0E37" w:rsidP="00C37521">
      <w:pPr>
        <w:jc w:val="both"/>
        <w:rPr>
          <w:rFonts w:ascii="Open Sans" w:hAnsi="Open Sans" w:cs="Open Sans"/>
        </w:rPr>
      </w:pPr>
      <w:r w:rsidRPr="004A621B">
        <w:rPr>
          <w:rFonts w:ascii="Open Sans" w:hAnsi="Open Sans" w:cs="Open Sans"/>
        </w:rPr>
        <w:t>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vice-versa)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52E72F46" w14:textId="77777777" w:rsidR="00E44402" w:rsidRDefault="00E44402" w:rsidP="00280FF3">
      <w:pPr>
        <w:jc w:val="both"/>
        <w:rPr>
          <w:rFonts w:asciiTheme="majorHAnsi" w:hAnsiTheme="majorHAnsi" w:cstheme="majorHAnsi"/>
          <w:sz w:val="24"/>
          <w:szCs w:val="24"/>
        </w:rPr>
      </w:pPr>
    </w:p>
    <w:p w14:paraId="1263CD6F" w14:textId="77777777" w:rsidR="00FB56CE" w:rsidRPr="004A621B" w:rsidRDefault="00FB56CE" w:rsidP="00FB56CE">
      <w:pPr>
        <w:jc w:val="both"/>
        <w:rPr>
          <w:rFonts w:ascii="Open Sans SemiBold" w:eastAsiaTheme="majorEastAsia" w:hAnsi="Open Sans SemiBold" w:cs="Open Sans SemiBold"/>
          <w:color w:val="2F5496" w:themeColor="accent1" w:themeShade="BF"/>
          <w:sz w:val="28"/>
          <w:szCs w:val="28"/>
          <w:u w:val="single"/>
        </w:rPr>
      </w:pPr>
      <w:bookmarkStart w:id="0" w:name="_Hlk158040909"/>
      <w:r w:rsidRPr="004A621B">
        <w:rPr>
          <w:rFonts w:ascii="Open Sans SemiBold" w:eastAsiaTheme="majorEastAsia" w:hAnsi="Open Sans SemiBold" w:cs="Open Sans SemiBold"/>
          <w:color w:val="2F5496" w:themeColor="accent1" w:themeShade="BF"/>
          <w:sz w:val="28"/>
          <w:szCs w:val="28"/>
          <w:u w:val="single"/>
        </w:rPr>
        <w:t>Source of stressor data to apply the function:</w:t>
      </w:r>
      <w:bookmarkEnd w:id="0"/>
    </w:p>
    <w:p w14:paraId="4130ADF1" w14:textId="5D11E3FA" w:rsidR="00FF74ED" w:rsidRPr="00C061D7" w:rsidRDefault="00FF74ED" w:rsidP="00D172FA">
      <w:pPr>
        <w:pStyle w:val="Heading1"/>
        <w:keepNext w:val="0"/>
        <w:keepLines w:val="0"/>
        <w:widowControl w:val="0"/>
        <w:jc w:val="both"/>
        <w:rPr>
          <w:rFonts w:ascii="Open Sans" w:eastAsiaTheme="minorEastAsia" w:hAnsi="Open Sans" w:cs="Open Sans"/>
          <w:color w:val="auto"/>
          <w:sz w:val="22"/>
          <w:szCs w:val="22"/>
        </w:rPr>
      </w:pPr>
      <w:r w:rsidRPr="00C061D7">
        <w:rPr>
          <w:rFonts w:ascii="Open Sans" w:eastAsiaTheme="minorEastAsia" w:hAnsi="Open Sans" w:cs="Open Sans"/>
          <w:color w:val="auto"/>
          <w:sz w:val="22"/>
          <w:szCs w:val="22"/>
        </w:rPr>
        <w:t xml:space="preserve">Total expected phosphorus export was calculated following the Event Mean Concentration method described in Donahue (2013) and is based on land cover type and annual precipitation within the natural region. Phosphorous runoff values were obtained from the </w:t>
      </w:r>
      <w:bookmarkStart w:id="1" w:name="_Hlk157801067"/>
      <w:r w:rsidRPr="00C061D7">
        <w:rPr>
          <w:rFonts w:ascii="Open Sans" w:eastAsiaTheme="minorEastAsia" w:hAnsi="Open Sans" w:cs="Open Sans"/>
          <w:color w:val="auto"/>
          <w:sz w:val="22"/>
          <w:szCs w:val="22"/>
        </w:rPr>
        <w:t xml:space="preserve">Upper Bow River Basin Cumulative Effects Study (ALCES Group, 2012) </w:t>
      </w:r>
      <w:bookmarkEnd w:id="1"/>
      <w:r w:rsidRPr="00C061D7">
        <w:rPr>
          <w:rFonts w:ascii="Open Sans" w:eastAsiaTheme="minorEastAsia" w:hAnsi="Open Sans" w:cs="Open Sans"/>
          <w:color w:val="auto"/>
          <w:sz w:val="22"/>
          <w:szCs w:val="22"/>
        </w:rPr>
        <w:t xml:space="preserve">and phosphorous delivery coefficients were obtained from Stelfox et al. (2008). Total estimated phosphorous export was calculated in ALCES Online© based on 2010 footprint within the spatial unit of interest.  </w:t>
      </w:r>
    </w:p>
    <w:p w14:paraId="038DC228" w14:textId="77777777" w:rsidR="00FF74ED" w:rsidRDefault="00FF74ED" w:rsidP="00FF74ED">
      <w:pPr>
        <w:rPr>
          <w:rFonts w:asciiTheme="majorHAnsi" w:hAnsiTheme="majorHAnsi" w:cstheme="majorHAnsi"/>
          <w:sz w:val="24"/>
          <w:szCs w:val="24"/>
        </w:rPr>
      </w:pPr>
      <w:r>
        <w:rPr>
          <w:rFonts w:cstheme="majorHAnsi"/>
          <w:sz w:val="24"/>
          <w:szCs w:val="24"/>
        </w:rPr>
        <w:br w:type="page"/>
      </w:r>
    </w:p>
    <w:p w14:paraId="1C13D2D6" w14:textId="68A45F76" w:rsidR="00FE22CD" w:rsidRPr="005C69B5" w:rsidRDefault="00FE22CD" w:rsidP="00600A24">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 xml:space="preserve">Stressor-Response </w:t>
      </w:r>
      <w:r w:rsidR="006D6A89" w:rsidRPr="005C69B5">
        <w:rPr>
          <w:rFonts w:ascii="Open Sans SemiBold" w:hAnsi="Open Sans SemiBold" w:cs="Open Sans SemiBold"/>
          <w:color w:val="004848"/>
        </w:rPr>
        <w:t>Function</w:t>
      </w:r>
    </w:p>
    <w:p w14:paraId="4FB8F592" w14:textId="1725A627" w:rsidR="00D237DE" w:rsidRPr="00D237DE" w:rsidRDefault="008B15B7" w:rsidP="00D237DE">
      <w:r>
        <w:rPr>
          <w:noProof/>
        </w:rPr>
        <w:drawing>
          <wp:anchor distT="0" distB="0" distL="114300" distR="114300" simplePos="0" relativeHeight="251667456" behindDoc="0" locked="0" layoutInCell="1" allowOverlap="1" wp14:anchorId="387D0D3A" wp14:editId="69128A8F">
            <wp:simplePos x="0" y="0"/>
            <wp:positionH relativeFrom="column">
              <wp:posOffset>333955</wp:posOffset>
            </wp:positionH>
            <wp:positionV relativeFrom="paragraph">
              <wp:posOffset>159108</wp:posOffset>
            </wp:positionV>
            <wp:extent cx="5478448" cy="3248667"/>
            <wp:effectExtent l="0" t="0" r="8255" b="8890"/>
            <wp:wrapNone/>
            <wp:docPr id="1554388581" name="Picture 1554388581"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8581" name="Picture 1554388581"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087" cy="3252604"/>
                    </a:xfrm>
                    <a:prstGeom prst="rect">
                      <a:avLst/>
                    </a:prstGeom>
                    <a:noFill/>
                  </pic:spPr>
                </pic:pic>
              </a:graphicData>
            </a:graphic>
            <wp14:sizeRelH relativeFrom="margin">
              <wp14:pctWidth>0</wp14:pctWidth>
            </wp14:sizeRelH>
            <wp14:sizeRelV relativeFrom="margin">
              <wp14:pctHeight>0</wp14:pctHeight>
            </wp14:sizeRelV>
          </wp:anchor>
        </w:drawing>
      </w:r>
    </w:p>
    <w:p w14:paraId="24DDEC21" w14:textId="736D122E" w:rsidR="009B39BE" w:rsidRDefault="009B39BE" w:rsidP="00FE22CD">
      <w:pPr>
        <w:keepNext/>
        <w:jc w:val="center"/>
      </w:pPr>
    </w:p>
    <w:p w14:paraId="708D9537" w14:textId="297E082A" w:rsidR="009B39BE" w:rsidRDefault="009B39BE" w:rsidP="00FE22CD">
      <w:pPr>
        <w:keepNext/>
        <w:jc w:val="center"/>
      </w:pPr>
    </w:p>
    <w:p w14:paraId="25A11412" w14:textId="77777777"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3C10BD01" w14:textId="2414E9C9" w:rsidR="009B39BE" w:rsidRDefault="009B39BE" w:rsidP="00FE22CD">
      <w:pPr>
        <w:keepNext/>
        <w:jc w:val="center"/>
      </w:pPr>
    </w:p>
    <w:p w14:paraId="628C97CE" w14:textId="77777777" w:rsidR="009B39BE" w:rsidRDefault="009B39BE" w:rsidP="00FE22CD">
      <w:pPr>
        <w:keepNext/>
        <w:jc w:val="center"/>
      </w:pPr>
    </w:p>
    <w:p w14:paraId="743685E4" w14:textId="1F1EBDB5" w:rsidR="009D7644" w:rsidRDefault="009D7644" w:rsidP="00FE22CD">
      <w:pPr>
        <w:keepNext/>
        <w:jc w:val="center"/>
      </w:pPr>
    </w:p>
    <w:p w14:paraId="7AEEA2FD" w14:textId="53CE4BB5" w:rsidR="00FE22CD" w:rsidRPr="00DD2E7A" w:rsidRDefault="00FE22CD" w:rsidP="009E609D">
      <w:pPr>
        <w:pStyle w:val="Caption"/>
        <w:ind w:left="720" w:hanging="720"/>
        <w:jc w:val="both"/>
        <w:rPr>
          <w:rFonts w:ascii="Open Sans" w:hAnsi="Open Sans" w:cs="Open Sans"/>
          <w:b/>
          <w:bCs/>
          <w:i w:val="0"/>
          <w:iCs w:val="0"/>
          <w:noProof/>
          <w:sz w:val="22"/>
          <w:szCs w:val="22"/>
        </w:rPr>
      </w:pPr>
      <w:r w:rsidRPr="00DD2E7A">
        <w:rPr>
          <w:rFonts w:ascii="Open Sans" w:hAnsi="Open Sans" w:cs="Open Sans"/>
          <w:b/>
          <w:bCs/>
          <w:i w:val="0"/>
          <w:iCs w:val="0"/>
          <w:sz w:val="22"/>
          <w:szCs w:val="22"/>
        </w:rPr>
        <w:t xml:space="preserve">Figure </w:t>
      </w:r>
      <w:r w:rsidRPr="00DD2E7A">
        <w:rPr>
          <w:rFonts w:ascii="Open Sans" w:hAnsi="Open Sans" w:cs="Open Sans"/>
          <w:b/>
          <w:bCs/>
          <w:i w:val="0"/>
          <w:iCs w:val="0"/>
          <w:sz w:val="22"/>
          <w:szCs w:val="22"/>
        </w:rPr>
        <w:fldChar w:fldCharType="begin"/>
      </w:r>
      <w:r w:rsidRPr="00DD2E7A">
        <w:rPr>
          <w:rFonts w:ascii="Open Sans" w:hAnsi="Open Sans" w:cs="Open Sans"/>
          <w:b/>
          <w:bCs/>
          <w:i w:val="0"/>
          <w:iCs w:val="0"/>
          <w:sz w:val="22"/>
          <w:szCs w:val="22"/>
        </w:rPr>
        <w:instrText xml:space="preserve"> SEQ Figure \* ARABIC </w:instrText>
      </w:r>
      <w:r w:rsidRPr="00DD2E7A">
        <w:rPr>
          <w:rFonts w:ascii="Open Sans" w:hAnsi="Open Sans" w:cs="Open Sans"/>
          <w:b/>
          <w:bCs/>
          <w:i w:val="0"/>
          <w:iCs w:val="0"/>
          <w:sz w:val="22"/>
          <w:szCs w:val="22"/>
        </w:rPr>
        <w:fldChar w:fldCharType="separate"/>
      </w:r>
      <w:r w:rsidRPr="00DD2E7A">
        <w:rPr>
          <w:rFonts w:ascii="Open Sans" w:hAnsi="Open Sans" w:cs="Open Sans"/>
          <w:b/>
          <w:bCs/>
          <w:i w:val="0"/>
          <w:iCs w:val="0"/>
          <w:noProof/>
          <w:sz w:val="22"/>
          <w:szCs w:val="22"/>
        </w:rPr>
        <w:t>1</w:t>
      </w:r>
      <w:r w:rsidRPr="00DD2E7A">
        <w:rPr>
          <w:rFonts w:ascii="Open Sans" w:hAnsi="Open Sans" w:cs="Open Sans"/>
          <w:b/>
          <w:bCs/>
          <w:i w:val="0"/>
          <w:iCs w:val="0"/>
          <w:sz w:val="22"/>
          <w:szCs w:val="22"/>
        </w:rPr>
        <w:fldChar w:fldCharType="end"/>
      </w:r>
      <w:r w:rsidRPr="00DD2E7A">
        <w:rPr>
          <w:rFonts w:ascii="Open Sans" w:hAnsi="Open Sans" w:cs="Open Sans"/>
          <w:b/>
          <w:bCs/>
          <w:i w:val="0"/>
          <w:iCs w:val="0"/>
          <w:sz w:val="22"/>
          <w:szCs w:val="22"/>
        </w:rPr>
        <w:t xml:space="preserve">: </w:t>
      </w:r>
      <w:r w:rsidR="007910E8" w:rsidRPr="00DD2E7A">
        <w:rPr>
          <w:rFonts w:ascii="Open Sans" w:hAnsi="Open Sans" w:cs="Open Sans"/>
          <w:i w:val="0"/>
          <w:iCs w:val="0"/>
          <w:sz w:val="22"/>
          <w:szCs w:val="22"/>
        </w:rPr>
        <w:t>Stressor-response curve depicting the expected relationship between potential phosphorus loading (tonnes/ha/year) (log scale) and the system capacity of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5C69B5" w:rsidRDefault="00FE22CD" w:rsidP="00676D63">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t>Stressor-Response Table</w:t>
      </w:r>
    </w:p>
    <w:p w14:paraId="1D8B0F8B" w14:textId="3CCB8BEC" w:rsidR="00FE22CD" w:rsidRPr="00DD2E7A" w:rsidRDefault="00FE22CD" w:rsidP="009E609D">
      <w:pPr>
        <w:pStyle w:val="Caption"/>
        <w:keepNext/>
        <w:ind w:left="720" w:hanging="720"/>
        <w:rPr>
          <w:rFonts w:ascii="Open Sans" w:hAnsi="Open Sans" w:cs="Open Sans"/>
          <w:b/>
          <w:bCs/>
          <w:i w:val="0"/>
          <w:iCs w:val="0"/>
          <w:sz w:val="22"/>
          <w:szCs w:val="22"/>
        </w:rPr>
      </w:pPr>
      <w:r w:rsidRPr="00DD2E7A">
        <w:rPr>
          <w:rFonts w:ascii="Open Sans" w:hAnsi="Open Sans" w:cs="Open Sans"/>
          <w:b/>
          <w:bCs/>
          <w:i w:val="0"/>
          <w:iCs w:val="0"/>
          <w:sz w:val="22"/>
          <w:szCs w:val="22"/>
        </w:rPr>
        <w:t xml:space="preserve">Table </w:t>
      </w:r>
      <w:r w:rsidRPr="00DD2E7A">
        <w:rPr>
          <w:rFonts w:ascii="Open Sans" w:hAnsi="Open Sans" w:cs="Open Sans"/>
          <w:b/>
          <w:bCs/>
          <w:i w:val="0"/>
          <w:iCs w:val="0"/>
          <w:sz w:val="22"/>
          <w:szCs w:val="22"/>
        </w:rPr>
        <w:fldChar w:fldCharType="begin"/>
      </w:r>
      <w:r w:rsidRPr="00DD2E7A">
        <w:rPr>
          <w:rFonts w:ascii="Open Sans" w:hAnsi="Open Sans" w:cs="Open Sans"/>
          <w:b/>
          <w:bCs/>
          <w:i w:val="0"/>
          <w:iCs w:val="0"/>
          <w:sz w:val="22"/>
          <w:szCs w:val="22"/>
        </w:rPr>
        <w:instrText xml:space="preserve"> SEQ Table \* ARABIC </w:instrText>
      </w:r>
      <w:r w:rsidRPr="00DD2E7A">
        <w:rPr>
          <w:rFonts w:ascii="Open Sans" w:hAnsi="Open Sans" w:cs="Open Sans"/>
          <w:b/>
          <w:bCs/>
          <w:i w:val="0"/>
          <w:iCs w:val="0"/>
          <w:sz w:val="22"/>
          <w:szCs w:val="22"/>
        </w:rPr>
        <w:fldChar w:fldCharType="separate"/>
      </w:r>
      <w:r w:rsidRPr="00DD2E7A">
        <w:rPr>
          <w:rFonts w:ascii="Open Sans" w:hAnsi="Open Sans" w:cs="Open Sans"/>
          <w:b/>
          <w:bCs/>
          <w:i w:val="0"/>
          <w:iCs w:val="0"/>
          <w:noProof/>
          <w:sz w:val="22"/>
          <w:szCs w:val="22"/>
        </w:rPr>
        <w:t>1</w:t>
      </w:r>
      <w:r w:rsidRPr="00DD2E7A">
        <w:rPr>
          <w:rFonts w:ascii="Open Sans" w:hAnsi="Open Sans" w:cs="Open Sans"/>
          <w:b/>
          <w:bCs/>
          <w:i w:val="0"/>
          <w:iCs w:val="0"/>
          <w:sz w:val="22"/>
          <w:szCs w:val="22"/>
        </w:rPr>
        <w:fldChar w:fldCharType="end"/>
      </w:r>
      <w:r w:rsidRPr="00DD2E7A">
        <w:rPr>
          <w:rFonts w:ascii="Open Sans" w:hAnsi="Open Sans" w:cs="Open Sans"/>
          <w:b/>
          <w:bCs/>
          <w:i w:val="0"/>
          <w:iCs w:val="0"/>
          <w:sz w:val="22"/>
          <w:szCs w:val="22"/>
        </w:rPr>
        <w:t xml:space="preserve">: </w:t>
      </w:r>
      <w:r w:rsidR="00265C11" w:rsidRPr="00DD2E7A">
        <w:rPr>
          <w:rFonts w:ascii="Open Sans" w:hAnsi="Open Sans" w:cs="Open Sans"/>
          <w:i w:val="0"/>
          <w:iCs w:val="0"/>
          <w:sz w:val="22"/>
          <w:szCs w:val="22"/>
        </w:rPr>
        <w:t xml:space="preserve">The relationship between </w:t>
      </w:r>
      <w:r w:rsidR="00DD2E7A">
        <w:rPr>
          <w:rFonts w:ascii="Open Sans" w:hAnsi="Open Sans" w:cs="Open Sans"/>
          <w:i w:val="0"/>
          <w:iCs w:val="0"/>
          <w:sz w:val="22"/>
          <w:szCs w:val="22"/>
        </w:rPr>
        <w:t>phosphorus loading (tonnes/ha/year)</w:t>
      </w:r>
      <w:r w:rsidR="0031740D" w:rsidRPr="00DD2E7A">
        <w:rPr>
          <w:rFonts w:ascii="Open Sans" w:hAnsi="Open Sans" w:cs="Open Sans"/>
          <w:i w:val="0"/>
          <w:iCs w:val="0"/>
          <w:sz w:val="22"/>
          <w:szCs w:val="22"/>
        </w:rPr>
        <w:t xml:space="preserve"> </w:t>
      </w:r>
      <w:r w:rsidR="00265C11" w:rsidRPr="00DD2E7A">
        <w:rPr>
          <w:rFonts w:ascii="Open Sans" w:hAnsi="Open Sans" w:cs="Open Sans"/>
          <w:i w:val="0"/>
          <w:iCs w:val="0"/>
          <w:sz w:val="22"/>
          <w:szCs w:val="22"/>
        </w:rPr>
        <w:t xml:space="preserve">and system capacity. </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24CF13F6" w:rsidR="00FE22CD" w:rsidRPr="000C33BE" w:rsidRDefault="000C33BE"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Phosphorus (tonnes/ha/year)</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Upper Limit</w:t>
            </w:r>
          </w:p>
        </w:tc>
      </w:tr>
      <w:tr w:rsidR="000C33BE" w:rsidRPr="00CE7299"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22486EFC"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0.01</w:t>
            </w:r>
          </w:p>
        </w:tc>
        <w:tc>
          <w:tcPr>
            <w:tcW w:w="2970" w:type="dxa"/>
            <w:tcBorders>
              <w:top w:val="nil"/>
              <w:left w:val="nil"/>
              <w:bottom w:val="nil"/>
              <w:right w:val="nil"/>
            </w:tcBorders>
            <w:shd w:val="clear" w:color="auto" w:fill="auto"/>
            <w:noWrap/>
            <w:vAlign w:val="bottom"/>
          </w:tcPr>
          <w:p w14:paraId="4D32AD4F" w14:textId="4FD670EB"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70B6CA20"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2F7516E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39FC5756"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20AF59A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0.06</w:t>
            </w:r>
          </w:p>
        </w:tc>
        <w:tc>
          <w:tcPr>
            <w:tcW w:w="2970" w:type="dxa"/>
            <w:tcBorders>
              <w:top w:val="nil"/>
              <w:left w:val="nil"/>
              <w:bottom w:val="nil"/>
              <w:right w:val="nil"/>
            </w:tcBorders>
            <w:shd w:val="clear" w:color="auto" w:fill="auto"/>
            <w:noWrap/>
            <w:vAlign w:val="bottom"/>
          </w:tcPr>
          <w:p w14:paraId="66083054" w14:textId="020F4C9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70</w:t>
            </w:r>
          </w:p>
        </w:tc>
        <w:tc>
          <w:tcPr>
            <w:tcW w:w="1255" w:type="dxa"/>
            <w:tcBorders>
              <w:top w:val="nil"/>
              <w:left w:val="nil"/>
              <w:bottom w:val="nil"/>
              <w:right w:val="nil"/>
            </w:tcBorders>
            <w:shd w:val="clear" w:color="auto" w:fill="auto"/>
            <w:noWrap/>
            <w:vAlign w:val="bottom"/>
          </w:tcPr>
          <w:p w14:paraId="6332F88E" w14:textId="1FF9E611"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50FBF04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6C3D6C9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0B7BE1C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00D1E3A8" w14:textId="2A917220"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50</w:t>
            </w:r>
          </w:p>
        </w:tc>
        <w:tc>
          <w:tcPr>
            <w:tcW w:w="1255" w:type="dxa"/>
            <w:tcBorders>
              <w:top w:val="nil"/>
              <w:left w:val="nil"/>
              <w:bottom w:val="nil"/>
              <w:right w:val="nil"/>
            </w:tcBorders>
            <w:shd w:val="clear" w:color="auto" w:fill="auto"/>
            <w:noWrap/>
            <w:vAlign w:val="bottom"/>
          </w:tcPr>
          <w:p w14:paraId="0F175C28" w14:textId="28D3FF8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67FDD57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0FF27199"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62FCC5BC"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14.2</w:t>
            </w:r>
          </w:p>
        </w:tc>
        <w:tc>
          <w:tcPr>
            <w:tcW w:w="2970" w:type="dxa"/>
            <w:tcBorders>
              <w:top w:val="nil"/>
              <w:left w:val="nil"/>
              <w:bottom w:val="nil"/>
              <w:right w:val="nil"/>
            </w:tcBorders>
            <w:shd w:val="clear" w:color="auto" w:fill="auto"/>
            <w:noWrap/>
            <w:vAlign w:val="bottom"/>
          </w:tcPr>
          <w:p w14:paraId="399F2B9E" w14:textId="163A9E4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2A5915C1" w14:textId="61D5FF19"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69A859F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7A904A8B"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6773E004" w14:textId="77777777" w:rsidTr="00CE79C6">
        <w:trPr>
          <w:trHeight w:val="300"/>
        </w:trPr>
        <w:tc>
          <w:tcPr>
            <w:tcW w:w="2160" w:type="dxa"/>
            <w:tcBorders>
              <w:top w:val="nil"/>
              <w:left w:val="nil"/>
              <w:bottom w:val="nil"/>
              <w:right w:val="nil"/>
            </w:tcBorders>
            <w:shd w:val="clear" w:color="auto" w:fill="auto"/>
            <w:noWrap/>
            <w:vAlign w:val="bottom"/>
          </w:tcPr>
          <w:p w14:paraId="7D65FC51" w14:textId="0C88B35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978</w:t>
            </w:r>
          </w:p>
        </w:tc>
        <w:tc>
          <w:tcPr>
            <w:tcW w:w="2970" w:type="dxa"/>
            <w:tcBorders>
              <w:top w:val="nil"/>
              <w:left w:val="nil"/>
              <w:bottom w:val="nil"/>
              <w:right w:val="nil"/>
            </w:tcBorders>
            <w:shd w:val="clear" w:color="auto" w:fill="auto"/>
            <w:noWrap/>
            <w:vAlign w:val="bottom"/>
          </w:tcPr>
          <w:p w14:paraId="4C8DA80F" w14:textId="735468AA"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7175325F" w14:textId="0840491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1A4812" w14:textId="25405FE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4BA132" w14:textId="31AC0061"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bl>
    <w:p w14:paraId="4ED814DA" w14:textId="77777777" w:rsidR="00A61872" w:rsidRDefault="00A61872" w:rsidP="00945E99">
      <w:pPr>
        <w:pStyle w:val="Heading1"/>
        <w:spacing w:before="0" w:line="240" w:lineRule="auto"/>
        <w:rPr>
          <w:rFonts w:ascii="Open Sans SemiBold" w:hAnsi="Open Sans SemiBold" w:cs="Open Sans SemiBold"/>
          <w:color w:val="004848"/>
        </w:rPr>
      </w:pPr>
    </w:p>
    <w:p w14:paraId="16B2D097" w14:textId="77777777" w:rsidR="00A61872" w:rsidRDefault="00A61872">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52A4C8A9" w:rsidR="00546741" w:rsidRPr="005C69B5" w:rsidRDefault="00546741" w:rsidP="00945E99">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 xml:space="preserve">SR </w:t>
      </w:r>
      <w:r w:rsidR="006D6A89" w:rsidRPr="005C69B5">
        <w:rPr>
          <w:rFonts w:ascii="Open Sans SemiBold" w:hAnsi="Open Sans SemiBold" w:cs="Open Sans SemiBold"/>
          <w:color w:val="004848"/>
        </w:rPr>
        <w:t>Function</w:t>
      </w:r>
      <w:r w:rsidRPr="005C69B5">
        <w:rPr>
          <w:rFonts w:ascii="Open Sans SemiBold" w:hAnsi="Open Sans SemiBold" w:cs="Open Sans SemiBold"/>
          <w:color w:val="004848"/>
        </w:rPr>
        <w:t xml:space="preserve"> Confidence and Sources of Uncertainty</w:t>
      </w:r>
    </w:p>
    <w:p w14:paraId="4BDC6DB5" w14:textId="77777777" w:rsidR="00536DD8" w:rsidRPr="00786D07" w:rsidRDefault="00536DD8" w:rsidP="00536DD8">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242169"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536DD8" w:rsidRDefault="0042249B" w:rsidP="00B524E1">
            <w:pPr>
              <w:jc w:val="center"/>
              <w:rPr>
                <w:rFonts w:ascii="Open Sans" w:hAnsi="Open Sans" w:cs="Open Sans"/>
                <w:b/>
                <w:bCs/>
                <w:color w:val="2F5496" w:themeColor="accent1" w:themeShade="BF"/>
                <w:sz w:val="28"/>
                <w:szCs w:val="28"/>
              </w:rPr>
            </w:pPr>
            <w:r w:rsidRPr="00536DD8">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36DD8" w:rsidRDefault="0042249B" w:rsidP="00B524E1">
            <w:pPr>
              <w:jc w:val="center"/>
              <w:rPr>
                <w:rFonts w:ascii="Open Sans" w:hAnsi="Open Sans" w:cs="Open Sans"/>
                <w:b/>
                <w:bCs/>
                <w:color w:val="2F5496" w:themeColor="accent1" w:themeShade="BF"/>
                <w:sz w:val="28"/>
                <w:szCs w:val="28"/>
              </w:rPr>
            </w:pPr>
            <w:r w:rsidRPr="00536DD8">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36DD8" w:rsidRDefault="0042249B" w:rsidP="00B524E1">
            <w:pPr>
              <w:jc w:val="center"/>
              <w:rPr>
                <w:rFonts w:ascii="Open Sans" w:hAnsi="Open Sans" w:cs="Open Sans"/>
                <w:b/>
                <w:bCs/>
                <w:color w:val="2F5496" w:themeColor="accent1" w:themeShade="BF"/>
                <w:sz w:val="28"/>
                <w:szCs w:val="28"/>
              </w:rPr>
            </w:pPr>
            <w:r w:rsidRPr="00536DD8">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242169" w:rsidRDefault="0042249B" w:rsidP="001B11AE">
            <w:pPr>
              <w:spacing w:line="259" w:lineRule="auto"/>
              <w:rPr>
                <w:rFonts w:ascii="Open Sans" w:eastAsiaTheme="majorEastAsia" w:hAnsi="Open Sans" w:cs="Open Sans"/>
                <w:b/>
                <w:bCs/>
                <w:color w:val="2F5496" w:themeColor="accent1" w:themeShade="BF"/>
                <w:sz w:val="28"/>
                <w:szCs w:val="28"/>
              </w:rPr>
            </w:pPr>
            <w:r w:rsidRPr="00242169">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242169"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242169" w:rsidRDefault="00B14FEC" w:rsidP="00B14FEC">
            <w:pPr>
              <w:jc w:val="center"/>
              <w:rPr>
                <w:rFonts w:ascii="Open Sans" w:eastAsiaTheme="minorEastAsia" w:hAnsi="Open Sans" w:cs="Open Sans"/>
                <w:kern w:val="0"/>
                <w:sz w:val="20"/>
                <w:szCs w:val="20"/>
                <w14:ligatures w14:val="none"/>
              </w:rPr>
            </w:pPr>
            <w:r w:rsidRPr="00242169">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242169"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242169" w:rsidRDefault="00C64402" w:rsidP="001B11AE">
            <w:pPr>
              <w:spacing w:line="259" w:lineRule="auto"/>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Rationale --&gt;</w:t>
            </w:r>
          </w:p>
        </w:tc>
        <w:tc>
          <w:tcPr>
            <w:tcW w:w="6930" w:type="dxa"/>
            <w:gridSpan w:val="3"/>
          </w:tcPr>
          <w:p w14:paraId="6C3EA652" w14:textId="74049F2B" w:rsidR="00C64402" w:rsidRPr="00242169" w:rsidRDefault="0080371A" w:rsidP="001A1DEF">
            <w:pPr>
              <w:rPr>
                <w:rFonts w:ascii="Open Sans" w:hAnsi="Open Sans" w:cs="Open Sans"/>
                <w:sz w:val="20"/>
                <w:szCs w:val="20"/>
              </w:rPr>
            </w:pPr>
            <w:r w:rsidRPr="00242169">
              <w:rPr>
                <w:rFonts w:ascii="Open Sans" w:hAnsi="Open Sans" w:cs="Open Sans"/>
                <w:sz w:val="20"/>
                <w:szCs w:val="20"/>
              </w:rPr>
              <w:t xml:space="preserve">Data for this curve was developed from a broad landscape correlation between phosphorus and </w:t>
            </w:r>
            <w:r w:rsidR="00C92081" w:rsidRPr="00242169">
              <w:rPr>
                <w:rFonts w:ascii="Open Sans" w:hAnsi="Open Sans" w:cs="Open Sans"/>
                <w:sz w:val="20"/>
                <w:szCs w:val="20"/>
              </w:rPr>
              <w:t xml:space="preserve">watershed-wide </w:t>
            </w:r>
            <w:r w:rsidR="00106929" w:rsidRPr="00242169">
              <w:rPr>
                <w:rFonts w:ascii="Open Sans" w:hAnsi="Open Sans" w:cs="Open Sans"/>
                <w:sz w:val="20"/>
                <w:szCs w:val="20"/>
              </w:rPr>
              <w:t>trout</w:t>
            </w:r>
            <w:r w:rsidR="00C92081" w:rsidRPr="00242169">
              <w:rPr>
                <w:rFonts w:ascii="Open Sans" w:hAnsi="Open Sans" w:cs="Open Sans"/>
                <w:sz w:val="20"/>
                <w:szCs w:val="20"/>
              </w:rPr>
              <w:t xml:space="preserve"> abundance</w:t>
            </w:r>
            <w:r w:rsidR="00106929" w:rsidRPr="00242169">
              <w:rPr>
                <w:rFonts w:ascii="Open Sans" w:hAnsi="Open Sans" w:cs="Open Sans"/>
                <w:sz w:val="20"/>
                <w:szCs w:val="20"/>
              </w:rPr>
              <w:t xml:space="preserve">. </w:t>
            </w:r>
            <w:r w:rsidR="00021C72" w:rsidRPr="00242169">
              <w:rPr>
                <w:rFonts w:ascii="Open Sans" w:hAnsi="Open Sans" w:cs="Open Sans"/>
                <w:sz w:val="20"/>
                <w:szCs w:val="20"/>
              </w:rPr>
              <w:t xml:space="preserve">While based on a quantitative correlation, the function lacks specificity </w:t>
            </w:r>
            <w:r w:rsidR="00E422DB" w:rsidRPr="00242169">
              <w:rPr>
                <w:rFonts w:ascii="Open Sans" w:hAnsi="Open Sans" w:cs="Open Sans"/>
                <w:sz w:val="20"/>
                <w:szCs w:val="20"/>
              </w:rPr>
              <w:t xml:space="preserve">(to species or point source location) </w:t>
            </w:r>
            <w:r w:rsidR="00021C72" w:rsidRPr="00242169">
              <w:rPr>
                <w:rFonts w:ascii="Open Sans" w:hAnsi="Open Sans" w:cs="Open Sans"/>
                <w:sz w:val="20"/>
                <w:szCs w:val="20"/>
              </w:rPr>
              <w:t xml:space="preserve">or </w:t>
            </w:r>
            <w:r w:rsidR="00E422DB" w:rsidRPr="00242169">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242169"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242169" w:rsidRDefault="009150DA" w:rsidP="009150DA">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242169"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Pr>
          <w:p w14:paraId="0334D8C0" w14:textId="67E16392" w:rsidR="00C64402" w:rsidRPr="00242169" w:rsidRDefault="00EC232C" w:rsidP="001B11AE">
            <w:pPr>
              <w:rPr>
                <w:rFonts w:ascii="Open Sans" w:hAnsi="Open Sans" w:cs="Open Sans"/>
                <w:sz w:val="20"/>
                <w:szCs w:val="20"/>
              </w:rPr>
            </w:pPr>
            <w:r w:rsidRPr="00242169">
              <w:rPr>
                <w:rFonts w:ascii="Open Sans" w:hAnsi="Open Sans" w:cs="Open Sans"/>
                <w:sz w:val="20"/>
                <w:szCs w:val="20"/>
              </w:rPr>
              <w:t xml:space="preserve">The function is </w:t>
            </w:r>
            <w:r w:rsidR="00E83236" w:rsidRPr="00242169">
              <w:rPr>
                <w:rFonts w:ascii="Open Sans" w:hAnsi="Open Sans" w:cs="Open Sans"/>
                <w:sz w:val="20"/>
                <w:szCs w:val="20"/>
              </w:rPr>
              <w:t xml:space="preserve">assumed to be negative, but the shape of the decline is based on broad categorizations of fish abundance. </w:t>
            </w:r>
          </w:p>
        </w:tc>
      </w:tr>
      <w:tr w:rsidR="0042249B" w:rsidRPr="00B4154F" w14:paraId="676B3FBF" w14:textId="77777777" w:rsidTr="00831C16">
        <w:trPr>
          <w:trHeight w:val="300"/>
        </w:trPr>
        <w:tc>
          <w:tcPr>
            <w:tcW w:w="2790" w:type="dxa"/>
          </w:tcPr>
          <w:p w14:paraId="4FFE1C29"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242169" w:rsidRDefault="0042249B" w:rsidP="001B11AE">
            <w:pPr>
              <w:spacing w:line="259" w:lineRule="auto"/>
              <w:rPr>
                <w:rFonts w:ascii="Open Sans" w:eastAsiaTheme="majorEastAsia" w:hAnsi="Open Sans" w:cs="Open Sans"/>
                <w:b/>
                <w:bCs/>
                <w:color w:val="2F5496" w:themeColor="accent1" w:themeShade="BF"/>
                <w:sz w:val="28"/>
                <w:szCs w:val="28"/>
              </w:rPr>
            </w:pPr>
            <w:r w:rsidRPr="00242169">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FD861C2" w:rsidR="0042249B" w:rsidRPr="00242169" w:rsidRDefault="00520662" w:rsidP="00520662">
            <w:pPr>
              <w:spacing w:line="259" w:lineRule="auto"/>
              <w:jc w:val="center"/>
              <w:rPr>
                <w:rFonts w:ascii="Open Sans" w:eastAsiaTheme="minorEastAsia" w:hAnsi="Open Sans" w:cs="Open Sans"/>
                <w:kern w:val="0"/>
                <w:sz w:val="20"/>
                <w:szCs w:val="20"/>
                <w14:ligatures w14:val="none"/>
              </w:rPr>
            </w:pPr>
            <w:r w:rsidRPr="00242169">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0B2B3C20" w:rsidR="0042249B" w:rsidRPr="00242169" w:rsidRDefault="0042249B" w:rsidP="00C6221A">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242169"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Pr>
          <w:p w14:paraId="07BC163B" w14:textId="1AFC9EE8" w:rsidR="00C64402" w:rsidRPr="00242169" w:rsidRDefault="008B3E9F" w:rsidP="001B11AE">
            <w:pPr>
              <w:rPr>
                <w:rFonts w:ascii="Open Sans" w:hAnsi="Open Sans" w:cs="Open Sans"/>
                <w:sz w:val="20"/>
                <w:szCs w:val="20"/>
              </w:rPr>
            </w:pPr>
            <w:r w:rsidRPr="00242169">
              <w:rPr>
                <w:rFonts w:ascii="Open Sans" w:hAnsi="Open Sans" w:cs="Open Sans"/>
                <w:sz w:val="20"/>
                <w:szCs w:val="20"/>
              </w:rPr>
              <w:t xml:space="preserve">The </w:t>
            </w:r>
            <w:r w:rsidR="005D0BC4" w:rsidRPr="00242169">
              <w:rPr>
                <w:rFonts w:ascii="Open Sans" w:hAnsi="Open Sans" w:cs="Open Sans"/>
                <w:sz w:val="20"/>
                <w:szCs w:val="20"/>
              </w:rPr>
              <w:t xml:space="preserve">slope of the regression model </w:t>
            </w:r>
            <w:r w:rsidR="00520662" w:rsidRPr="00242169">
              <w:rPr>
                <w:rFonts w:ascii="Open Sans" w:hAnsi="Open Sans" w:cs="Open Sans"/>
                <w:sz w:val="20"/>
                <w:szCs w:val="20"/>
              </w:rPr>
              <w:t>had large confidence intervals. The data did not span the full range of system capacities (</w:t>
            </w:r>
            <w:r w:rsidR="00290A9A" w:rsidRPr="00242169">
              <w:rPr>
                <w:rFonts w:ascii="Open Sans" w:hAnsi="Open Sans" w:cs="Open Sans"/>
                <w:sz w:val="20"/>
                <w:szCs w:val="20"/>
              </w:rPr>
              <w:t xml:space="preserve">no FSA 5 watersheds). </w:t>
            </w:r>
          </w:p>
        </w:tc>
      </w:tr>
      <w:tr w:rsidR="0042249B" w:rsidRPr="00B4154F" w14:paraId="64ECFA8D" w14:textId="77777777" w:rsidTr="00831C16">
        <w:trPr>
          <w:trHeight w:val="300"/>
        </w:trPr>
        <w:tc>
          <w:tcPr>
            <w:tcW w:w="2790" w:type="dxa"/>
          </w:tcPr>
          <w:p w14:paraId="7DAC4157"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242169"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242169"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242169" w:rsidRDefault="00CD1F35" w:rsidP="00CD1F35">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51D6647D" w:rsidR="00C64402" w:rsidRPr="00242169" w:rsidRDefault="00290A9A" w:rsidP="001B11AE">
            <w:pPr>
              <w:rPr>
                <w:rFonts w:ascii="Open Sans" w:hAnsi="Open Sans" w:cs="Open Sans"/>
                <w:sz w:val="20"/>
                <w:szCs w:val="20"/>
              </w:rPr>
            </w:pPr>
            <w:r w:rsidRPr="00242169">
              <w:rPr>
                <w:rFonts w:ascii="Open Sans" w:hAnsi="Open Sans" w:cs="Open Sans"/>
                <w:sz w:val="20"/>
                <w:szCs w:val="20"/>
              </w:rPr>
              <w:t xml:space="preserve">The function was built for the three species, </w:t>
            </w:r>
            <w:r w:rsidR="005E51AC" w:rsidRPr="00242169">
              <w:rPr>
                <w:rFonts w:ascii="Open Sans" w:hAnsi="Open Sans" w:cs="Open Sans"/>
                <w:sz w:val="20"/>
                <w:szCs w:val="20"/>
              </w:rPr>
              <w:t xml:space="preserve">which are anticipated to respond similarly to phosphorus loading. As the data was based directly on </w:t>
            </w:r>
            <w:r w:rsidR="00E4625D" w:rsidRPr="00242169">
              <w:rPr>
                <w:rFonts w:ascii="Open Sans" w:hAnsi="Open Sans" w:cs="Open Sans"/>
                <w:sz w:val="20"/>
                <w:szCs w:val="20"/>
              </w:rPr>
              <w:t xml:space="preserve">field measurements of fish abundance and </w:t>
            </w:r>
            <w:r w:rsidR="00FF1291" w:rsidRPr="00242169">
              <w:rPr>
                <w:rFonts w:ascii="Open Sans" w:hAnsi="Open Sans" w:cs="Open Sans"/>
                <w:sz w:val="20"/>
                <w:szCs w:val="20"/>
              </w:rPr>
              <w:t>local</w:t>
            </w:r>
            <w:r w:rsidR="00E4625D" w:rsidRPr="00242169">
              <w:rPr>
                <w:rFonts w:ascii="Open Sans" w:hAnsi="Open Sans" w:cs="Open Sans"/>
                <w:sz w:val="20"/>
                <w:szCs w:val="20"/>
              </w:rPr>
              <w:t xml:space="preserve"> phosphorus models</w:t>
            </w:r>
            <w:r w:rsidR="00FF1291" w:rsidRPr="00242169">
              <w:rPr>
                <w:rFonts w:ascii="Open Sans" w:hAnsi="Open Sans" w:cs="Open Sans"/>
                <w:sz w:val="20"/>
                <w:szCs w:val="20"/>
              </w:rPr>
              <w:t xml:space="preserve">, it likely has high applicability in the system it was developed for. </w:t>
            </w:r>
            <w:r w:rsidR="008874F0" w:rsidRPr="00242169">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242169" w:rsidRDefault="008F5CD0" w:rsidP="00C96871">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242169"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242169"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E7138DD" w:rsidR="00C64402" w:rsidRPr="00242169" w:rsidRDefault="009432D2" w:rsidP="001B11AE">
            <w:pPr>
              <w:rPr>
                <w:rFonts w:ascii="Open Sans" w:hAnsi="Open Sans" w:cs="Open Sans"/>
                <w:sz w:val="20"/>
                <w:szCs w:val="20"/>
              </w:rPr>
            </w:pPr>
            <w:r w:rsidRPr="00242169">
              <w:rPr>
                <w:rFonts w:ascii="Open Sans" w:hAnsi="Open Sans" w:cs="Open Sans"/>
                <w:sz w:val="20"/>
                <w:szCs w:val="20"/>
              </w:rPr>
              <w:t xml:space="preserve">There is </w:t>
            </w:r>
            <w:r w:rsidR="008F5CD0" w:rsidRPr="00242169">
              <w:rPr>
                <w:rFonts w:ascii="Open Sans" w:hAnsi="Open Sans" w:cs="Open Sans"/>
                <w:sz w:val="20"/>
                <w:szCs w:val="20"/>
              </w:rPr>
              <w:t xml:space="preserve">significant </w:t>
            </w:r>
            <w:r w:rsidRPr="00242169">
              <w:rPr>
                <w:rFonts w:ascii="Open Sans" w:hAnsi="Open Sans" w:cs="Open Sans"/>
                <w:sz w:val="20"/>
                <w:szCs w:val="20"/>
              </w:rPr>
              <w:t>potential for stressor interaction</w:t>
            </w:r>
            <w:r w:rsidR="008F5CD0" w:rsidRPr="00242169">
              <w:rPr>
                <w:rFonts w:ascii="Open Sans" w:hAnsi="Open Sans" w:cs="Open Sans"/>
                <w:sz w:val="20"/>
                <w:szCs w:val="20"/>
              </w:rPr>
              <w:t xml:space="preserve">s because this function was developed from landscape correlation. </w:t>
            </w:r>
            <w:r w:rsidR="00161008" w:rsidRPr="00242169">
              <w:rPr>
                <w:rFonts w:ascii="Open Sans" w:hAnsi="Open Sans" w:cs="Open Sans"/>
                <w:sz w:val="20"/>
                <w:szCs w:val="20"/>
              </w:rPr>
              <w:t xml:space="preserve">Numerous possible stressors could co-vary with phosphorus loading and have the same observed effect on fish population status. </w:t>
            </w:r>
            <w:r w:rsidR="00AB5CC4" w:rsidRPr="00242169">
              <w:rPr>
                <w:rFonts w:ascii="Open Sans" w:hAnsi="Open Sans" w:cs="Open Sans"/>
                <w:sz w:val="20"/>
                <w:szCs w:val="20"/>
              </w:rPr>
              <w:t>Note: There was strong correlation (Pearson R = 0.62, 95% confidence interval 0.45 – 0.74) between sediment and phosphorus, so these two functions were treated with a limiting factor approach, rather than multiplicatively.</w:t>
            </w:r>
          </w:p>
        </w:tc>
      </w:tr>
    </w:tbl>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C69B5" w:rsidRDefault="00C5276A" w:rsidP="005B48F0">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Recommended Citation</w:t>
      </w:r>
    </w:p>
    <w:p w14:paraId="1D1D7201" w14:textId="5BBFC804" w:rsidR="00C5276A" w:rsidRPr="005C69B5" w:rsidRDefault="00C5276A" w:rsidP="00C5276A">
      <w:pPr>
        <w:rPr>
          <w:rFonts w:ascii="Open Sans" w:hAnsi="Open Sans" w:cs="Open Sans"/>
        </w:rPr>
      </w:pPr>
      <w:r w:rsidRPr="005C69B5">
        <w:rPr>
          <w:rFonts w:ascii="Open Sans" w:hAnsi="Open Sans" w:cs="Open Sans"/>
        </w:rPr>
        <w:t>This document should be cited as:</w:t>
      </w:r>
    </w:p>
    <w:p w14:paraId="168390F3" w14:textId="681FFFF5" w:rsidR="005306A4" w:rsidRPr="005C69B5" w:rsidRDefault="00F130FA" w:rsidP="005306A4">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007E2557" w:rsidRPr="005C69B5">
        <w:rPr>
          <w:rFonts w:ascii="Open Sans" w:hAnsi="Open Sans" w:cs="Open Sans"/>
        </w:rPr>
        <w:t>Phosphorus loading</w:t>
      </w:r>
      <w:r w:rsidR="005306A4" w:rsidRPr="005C69B5">
        <w:rPr>
          <w:rFonts w:ascii="Open Sans" w:hAnsi="Open Sans" w:cs="Open Sans"/>
        </w:rPr>
        <w:t xml:space="preserve"> stressor-response function for Athabasca Rainbow Trout, Westslope Cutthroat Trout, and Bull Trout. </w:t>
      </w:r>
      <w:r w:rsidR="00CC440C"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70709CE6" w:rsidR="00EE401F" w:rsidRPr="00F27A55" w:rsidRDefault="00EE401F" w:rsidP="00EE401F">
      <w:pPr>
        <w:rPr>
          <w:rFonts w:ascii="Segoe UI" w:hAnsi="Segoe UI" w:cs="Segoe UI"/>
          <w:b/>
          <w:bCs/>
          <w:color w:val="2F5496" w:themeColor="accent1" w:themeShade="BF"/>
        </w:rPr>
      </w:pPr>
      <w:r w:rsidRPr="00F27A55">
        <w:rPr>
          <w:rFonts w:ascii="Segoe UI" w:hAnsi="Segoe UI" w:cs="Segoe UI"/>
          <w:b/>
          <w:bCs/>
          <w:color w:val="2F5496" w:themeColor="accent1" w:themeShade="BF"/>
          <w:sz w:val="24"/>
          <w:szCs w:val="24"/>
        </w:rPr>
        <w:t>______________________________________________________________________</w:t>
      </w:r>
      <w:r w:rsidR="00F27A55" w:rsidRPr="00F27A55">
        <w:rPr>
          <w:rFonts w:ascii="Segoe UI" w:hAnsi="Segoe UI" w:cs="Segoe UI"/>
          <w:b/>
          <w:bCs/>
          <w:color w:val="2F5496" w:themeColor="accent1" w:themeShade="BF"/>
          <w:sz w:val="24"/>
          <w:szCs w:val="24"/>
        </w:rPr>
        <w:t>_______________</w:t>
      </w:r>
      <w:r w:rsidRPr="00F27A55">
        <w:rPr>
          <w:rFonts w:ascii="Segoe UI" w:hAnsi="Segoe UI" w:cs="Segoe UI"/>
          <w:b/>
          <w:bCs/>
          <w:color w:val="2F5496" w:themeColor="accent1" w:themeShade="BF"/>
          <w:sz w:val="24"/>
          <w:szCs w:val="24"/>
        </w:rPr>
        <w:t>________</w:t>
      </w:r>
    </w:p>
    <w:p w14:paraId="1C80D178" w14:textId="77777777" w:rsidR="00283331" w:rsidRPr="005C69B5" w:rsidRDefault="00283331" w:rsidP="005B48F0">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t xml:space="preserve">References </w:t>
      </w:r>
    </w:p>
    <w:p w14:paraId="078FDB13" w14:textId="77777777" w:rsidR="00032678" w:rsidRPr="005C69B5" w:rsidRDefault="00032678" w:rsidP="004B586D">
      <w:pPr>
        <w:ind w:left="720" w:hanging="720"/>
        <w:rPr>
          <w:rFonts w:ascii="Open Sans" w:hAnsi="Open Sans" w:cs="Open Sans"/>
        </w:rPr>
      </w:pPr>
    </w:p>
    <w:p w14:paraId="1858D4D9" w14:textId="77777777" w:rsidR="00A64CC8" w:rsidRPr="005C69B5" w:rsidRDefault="00A64CC8" w:rsidP="00A64CC8">
      <w:pPr>
        <w:ind w:left="720" w:hanging="720"/>
        <w:rPr>
          <w:rFonts w:ascii="Open Sans" w:hAnsi="Open Sans" w:cs="Open Sans"/>
        </w:rPr>
      </w:pPr>
      <w:r w:rsidRPr="005C69B5">
        <w:rPr>
          <w:rFonts w:ascii="Open Sans" w:hAnsi="Open Sans" w:cs="Open Sans"/>
        </w:rPr>
        <w:t xml:space="preserve">Alberta Environment and Parks (AEP). 2013. Bull Trout Fish Sustainability Index. Alberta Fish and Wildlife Policy Branch, Edmonton, Alberta. https://www.alberta.ca/bull-trout-fsi. </w:t>
      </w:r>
    </w:p>
    <w:p w14:paraId="24FD44CE" w14:textId="6A29E4BE" w:rsidR="005169D1" w:rsidRPr="005C69B5" w:rsidRDefault="005169D1" w:rsidP="00A64CC8">
      <w:pPr>
        <w:ind w:left="720" w:hanging="720"/>
        <w:rPr>
          <w:rFonts w:ascii="Open Sans" w:hAnsi="Open Sans" w:cs="Open Sans"/>
        </w:rPr>
      </w:pPr>
      <w:r w:rsidRPr="005C69B5">
        <w:rPr>
          <w:rFonts w:ascii="Open Sans" w:hAnsi="Open Sans" w:cs="Open Sans"/>
        </w:rPr>
        <w:t>ALCES 2012. Upper Bow River Basin Cumulative Effects Study</w:t>
      </w:r>
      <w:r w:rsidR="00010BC2" w:rsidRPr="005C69B5">
        <w:rPr>
          <w:rFonts w:ascii="Open Sans" w:hAnsi="Open Sans" w:cs="Open Sans"/>
        </w:rPr>
        <w:t xml:space="preserve">. </w:t>
      </w:r>
      <w:r w:rsidR="00654224" w:rsidRPr="005C69B5">
        <w:rPr>
          <w:rFonts w:ascii="Open Sans" w:hAnsi="Open Sans" w:cs="Open Sans"/>
        </w:rPr>
        <w:t>Report for Action for Agriculture</w:t>
      </w:r>
      <w:r w:rsidR="00C5791D" w:rsidRPr="005C69B5">
        <w:rPr>
          <w:rFonts w:ascii="Open Sans" w:hAnsi="Open Sans" w:cs="Open Sans"/>
        </w:rPr>
        <w:t>, Alberta. 100 pp.</w:t>
      </w:r>
    </w:p>
    <w:p w14:paraId="53850638" w14:textId="331F673B" w:rsidR="00D2377A" w:rsidRPr="005C69B5" w:rsidRDefault="00D2377A" w:rsidP="00D2377A">
      <w:pPr>
        <w:ind w:left="720" w:hanging="720"/>
        <w:rPr>
          <w:rFonts w:ascii="Open Sans" w:hAnsi="Open Sans" w:cs="Open Sans"/>
        </w:rPr>
      </w:pPr>
      <w:r w:rsidRPr="005C69B5">
        <w:rPr>
          <w:rFonts w:ascii="Open Sans" w:hAnsi="Open Sans" w:cs="Open Sans"/>
        </w:rPr>
        <w:t>Cade, B.S. and B.R. Noon. 2003. A gentle introduction to quantile regression for ecologists. Frontiers in Ecology and the Environment 1: 412–420.</w:t>
      </w:r>
    </w:p>
    <w:p w14:paraId="60187E8D" w14:textId="77777777" w:rsidR="001A389E" w:rsidRPr="005C69B5" w:rsidRDefault="001A389E" w:rsidP="001A389E">
      <w:pPr>
        <w:ind w:left="720" w:hanging="720"/>
        <w:rPr>
          <w:rFonts w:ascii="Open Sans" w:hAnsi="Open Sans" w:cs="Open Sans"/>
        </w:rPr>
      </w:pPr>
      <w:r w:rsidRPr="005C69B5">
        <w:rPr>
          <w:rFonts w:ascii="Open Sans" w:hAnsi="Open Sans" w:cs="Open Sans"/>
        </w:rPr>
        <w:t>Chung, C. 2013. Diel oxygen cycles in the Bow River: Relationships to Calgary's urban nutrient footprint and periphyton and macrophyte biomass. MSc Thesis, University of Calgary, AB. 92 pp.</w:t>
      </w:r>
    </w:p>
    <w:p w14:paraId="5BFCA6B2" w14:textId="499CC400" w:rsidR="00250D1B" w:rsidRPr="005C69B5" w:rsidRDefault="00250D1B" w:rsidP="001A389E">
      <w:pPr>
        <w:ind w:left="720" w:hanging="720"/>
        <w:rPr>
          <w:rFonts w:ascii="Open Sans" w:hAnsi="Open Sans" w:cs="Open Sans"/>
        </w:rPr>
      </w:pPr>
      <w:r w:rsidRPr="005C69B5">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B3AE891" w14:textId="1219A23E" w:rsidR="00EE540B" w:rsidRPr="005C69B5" w:rsidRDefault="00BD4134" w:rsidP="00D2377A">
      <w:pPr>
        <w:ind w:left="720" w:hanging="720"/>
        <w:rPr>
          <w:rFonts w:ascii="Open Sans" w:hAnsi="Open Sans" w:cs="Open Sans"/>
        </w:rPr>
      </w:pPr>
      <w:r w:rsidRPr="005C69B5">
        <w:rPr>
          <w:rFonts w:ascii="Open Sans" w:hAnsi="Open Sans" w:cs="Open Sans"/>
        </w:rPr>
        <w:t>Jacobsen, D., and R. Marin. 2008. Bolivian Altiplano streams with low richness of macroinvertebrates and large diel fluctuations in temperature and oxygen. Aquatic Ecology 42:643-656.</w:t>
      </w:r>
    </w:p>
    <w:p w14:paraId="1CF72A5C" w14:textId="77777777" w:rsidR="00275E85" w:rsidRPr="005C69B5" w:rsidRDefault="00E54A8D" w:rsidP="00E54A8D">
      <w:pPr>
        <w:ind w:left="720" w:hanging="720"/>
        <w:rPr>
          <w:rFonts w:ascii="Open Sans" w:hAnsi="Open Sans" w:cs="Open Sans"/>
        </w:rPr>
      </w:pPr>
      <w:r w:rsidRPr="005C69B5">
        <w:rPr>
          <w:rFonts w:ascii="Open Sans" w:hAnsi="Open Sans" w:cs="Open Sans"/>
        </w:rPr>
        <w:t>Koning, C., K. Ashley, P. Slaney, and A. Paul. 1998. Stream fertilization as a fisheries mitigation technique for perturbated oligotrophic trout streams in British Columbia. Pages 109-120 in M.K. Brewin and D.M.A. Monita, tech. Cords. Forest-fish conference: land management practices affecting aquatic ecosystems. Proc. Forest-Fish Conf., May 1-4, 1996, Calgary, AB. Nat. Resource Canada, Edmonton, AB, Inf. Rep. NOR-X-356.</w:t>
      </w:r>
    </w:p>
    <w:p w14:paraId="03620886" w14:textId="558D4C61" w:rsidR="002547A0" w:rsidRPr="005C69B5" w:rsidRDefault="0085518E" w:rsidP="0085518E">
      <w:pPr>
        <w:ind w:left="720" w:hanging="720"/>
        <w:rPr>
          <w:rFonts w:ascii="Open Sans" w:hAnsi="Open Sans" w:cs="Open Sans"/>
        </w:rPr>
      </w:pPr>
      <w:r w:rsidRPr="005C69B5">
        <w:rPr>
          <w:rFonts w:ascii="Open Sans" w:hAnsi="Open Sans" w:cs="Open Sans"/>
        </w:rPr>
        <w:t>MacPherson, L.M., M.G. Sullivan, A.L. Foote and C.E. Stevens. 2012. Effects of culverts on stream fish assemblages in the Alberta foothills. North American Journal of Fisheries Management 32: 480–490.</w:t>
      </w:r>
    </w:p>
    <w:p w14:paraId="5A78DE6C" w14:textId="65791BDF" w:rsidR="00C01EA0" w:rsidRDefault="005E39C0" w:rsidP="005E39C0">
      <w:pPr>
        <w:ind w:left="720" w:hanging="720"/>
        <w:rPr>
          <w:rFonts w:ascii="Open Sans" w:hAnsi="Open Sans" w:cs="Open Sans"/>
        </w:rPr>
      </w:pPr>
      <w:r w:rsidRPr="005C69B5">
        <w:rPr>
          <w:rFonts w:ascii="Open Sans" w:hAnsi="Open Sans" w:cs="Open Sans"/>
        </w:rPr>
        <w:lastRenderedPageBreak/>
        <w:t>Meijering, M.P.D. 1991. Lack of oxygen and low pH as limiting factors for Gammarus in Hessian brooks and rivers. Hydrobiologia 223:159-169.</w:t>
      </w:r>
    </w:p>
    <w:p w14:paraId="37CD0FA1" w14:textId="77777777" w:rsidR="00D222EF" w:rsidRPr="00D222EF" w:rsidRDefault="00D222EF" w:rsidP="00D222EF">
      <w:pPr>
        <w:ind w:left="720" w:hanging="720"/>
        <w:rPr>
          <w:rFonts w:ascii="Open Sans" w:hAnsi="Open Sans" w:cs="Open Sans"/>
        </w:rPr>
      </w:pPr>
      <w:r w:rsidRPr="00D222EF">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0906EBC9" w14:textId="77777777" w:rsidR="004F4F4C" w:rsidRPr="005C69B5" w:rsidRDefault="004F4F4C" w:rsidP="004F4F4C">
      <w:pPr>
        <w:ind w:left="720" w:hanging="720"/>
        <w:rPr>
          <w:rFonts w:ascii="Open Sans" w:hAnsi="Open Sans" w:cs="Open Sans"/>
        </w:rPr>
      </w:pPr>
      <w:r w:rsidRPr="005C69B5">
        <w:rPr>
          <w:rFonts w:ascii="Open Sans" w:hAnsi="Open Sans" w:cs="Open Sans"/>
        </w:rPr>
        <w:t>Zuur, A.F., E.N. Leno and C.S. Elphick. 2010. A protocol for data exploration to avoid common statistical problems. Methods in Ecology and Evolution 1:3-14</w:t>
      </w:r>
    </w:p>
    <w:p w14:paraId="6363DC4A" w14:textId="77777777" w:rsidR="004F4F4C" w:rsidRPr="005C69B5" w:rsidRDefault="004F4F4C" w:rsidP="005E39C0">
      <w:pPr>
        <w:ind w:left="720" w:hanging="720"/>
        <w:rPr>
          <w:rFonts w:ascii="Open Sans" w:hAnsi="Open Sans" w:cs="Open Sans"/>
        </w:rPr>
      </w:pPr>
    </w:p>
    <w:sectPr w:rsidR="004F4F4C" w:rsidRPr="005C69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4DF9" w14:textId="77777777" w:rsidR="004C1E59" w:rsidRDefault="004C1E59" w:rsidP="00E7799D">
      <w:pPr>
        <w:spacing w:after="0" w:line="240" w:lineRule="auto"/>
      </w:pPr>
      <w:r>
        <w:separator/>
      </w:r>
    </w:p>
  </w:endnote>
  <w:endnote w:type="continuationSeparator" w:id="0">
    <w:p w14:paraId="0CEF5F6D" w14:textId="77777777" w:rsidR="004C1E59" w:rsidRDefault="004C1E59" w:rsidP="00E7799D">
      <w:pPr>
        <w:spacing w:after="0" w:line="240" w:lineRule="auto"/>
      </w:pPr>
      <w:r>
        <w:continuationSeparator/>
      </w:r>
    </w:p>
  </w:endnote>
  <w:endnote w:type="continuationNotice" w:id="1">
    <w:p w14:paraId="04519A3C" w14:textId="77777777" w:rsidR="004C1E59" w:rsidRDefault="004C1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E130" w14:textId="77777777" w:rsidR="00B53A8A" w:rsidRDefault="00B5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20"/>
        <w:szCs w:val="20"/>
      </w:rPr>
      <w:id w:val="-1984923876"/>
      <w:docPartObj>
        <w:docPartGallery w:val="Page Numbers (Bottom of Page)"/>
        <w:docPartUnique/>
      </w:docPartObj>
    </w:sdtPr>
    <w:sdtEndPr>
      <w:rPr>
        <w:noProof/>
      </w:rPr>
    </w:sdtEndPr>
    <w:sdtContent>
      <w:p w14:paraId="5D88F19A" w14:textId="29A996B9" w:rsidR="00E7799D" w:rsidRPr="000305F6" w:rsidRDefault="00E7799D">
        <w:pPr>
          <w:pStyle w:val="Footer"/>
          <w:jc w:val="right"/>
          <w:rPr>
            <w:rFonts w:ascii="Open Sans Light" w:hAnsi="Open Sans Light" w:cs="Open Sans Light"/>
            <w:sz w:val="20"/>
            <w:szCs w:val="20"/>
          </w:rPr>
        </w:pPr>
        <w:r w:rsidRPr="000305F6">
          <w:rPr>
            <w:rFonts w:ascii="Open Sans Light" w:hAnsi="Open Sans Light" w:cs="Open Sans Light"/>
            <w:sz w:val="20"/>
            <w:szCs w:val="20"/>
          </w:rPr>
          <w:fldChar w:fldCharType="begin"/>
        </w:r>
        <w:r w:rsidRPr="000305F6">
          <w:rPr>
            <w:rFonts w:ascii="Open Sans Light" w:hAnsi="Open Sans Light" w:cs="Open Sans Light"/>
            <w:sz w:val="20"/>
            <w:szCs w:val="20"/>
          </w:rPr>
          <w:instrText xml:space="preserve"> PAGE   \* MERGEFORMAT </w:instrText>
        </w:r>
        <w:r w:rsidRPr="000305F6">
          <w:rPr>
            <w:rFonts w:ascii="Open Sans Light" w:hAnsi="Open Sans Light" w:cs="Open Sans Light"/>
            <w:sz w:val="20"/>
            <w:szCs w:val="20"/>
          </w:rPr>
          <w:fldChar w:fldCharType="separate"/>
        </w:r>
        <w:r w:rsidRPr="000305F6">
          <w:rPr>
            <w:rFonts w:ascii="Open Sans Light" w:hAnsi="Open Sans Light" w:cs="Open Sans Light"/>
            <w:noProof/>
            <w:sz w:val="20"/>
            <w:szCs w:val="20"/>
          </w:rPr>
          <w:t>2</w:t>
        </w:r>
        <w:r w:rsidRPr="000305F6">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F9C8" w14:textId="77777777" w:rsidR="00B53A8A" w:rsidRDefault="00B5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20A4A" w14:textId="77777777" w:rsidR="004C1E59" w:rsidRDefault="004C1E59" w:rsidP="00E7799D">
      <w:pPr>
        <w:spacing w:after="0" w:line="240" w:lineRule="auto"/>
      </w:pPr>
      <w:r>
        <w:separator/>
      </w:r>
    </w:p>
  </w:footnote>
  <w:footnote w:type="continuationSeparator" w:id="0">
    <w:p w14:paraId="71120E5C" w14:textId="77777777" w:rsidR="004C1E59" w:rsidRDefault="004C1E59" w:rsidP="00E7799D">
      <w:pPr>
        <w:spacing w:after="0" w:line="240" w:lineRule="auto"/>
      </w:pPr>
      <w:r>
        <w:continuationSeparator/>
      </w:r>
    </w:p>
  </w:footnote>
  <w:footnote w:type="continuationNotice" w:id="1">
    <w:p w14:paraId="76CF21C5" w14:textId="77777777" w:rsidR="004C1E59" w:rsidRDefault="004C1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D629" w14:textId="77777777" w:rsidR="00B53A8A" w:rsidRDefault="00B5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B53A8A" w:rsidRDefault="00C368E1" w:rsidP="00762B7E">
    <w:pPr>
      <w:pStyle w:val="Header"/>
      <w:rPr>
        <w:rFonts w:ascii="Open Sans Light" w:hAnsi="Open Sans Light" w:cs="Open Sans Light"/>
        <w:sz w:val="20"/>
        <w:szCs w:val="20"/>
      </w:rPr>
    </w:pPr>
    <w:r w:rsidRPr="00B53A8A">
      <w:rPr>
        <w:rFonts w:ascii="Open Sans Light" w:hAnsi="Open Sans Light" w:cs="Open Sans Light"/>
        <w:sz w:val="20"/>
        <w:szCs w:val="20"/>
      </w:rPr>
      <w:t xml:space="preserve">Stressor-Response </w:t>
    </w:r>
    <w:r w:rsidR="00571DE7" w:rsidRPr="00B53A8A">
      <w:rPr>
        <w:rFonts w:ascii="Open Sans Light" w:hAnsi="Open Sans Light" w:cs="Open Sans Light"/>
        <w:sz w:val="20"/>
        <w:szCs w:val="20"/>
      </w:rPr>
      <w:t xml:space="preserve">Function </w:t>
    </w:r>
    <w:r w:rsidRPr="00B53A8A">
      <w:rPr>
        <w:rFonts w:ascii="Open Sans Light" w:hAnsi="Open Sans Light" w:cs="Open Sans Light"/>
        <w:sz w:val="20"/>
        <w:szCs w:val="20"/>
      </w:rPr>
      <w:t>Library Documentation</w:t>
    </w:r>
    <w:r w:rsidRPr="00B53A8A">
      <w:rPr>
        <w:rFonts w:ascii="Open Sans Light" w:hAnsi="Open Sans Light" w:cs="Open Sans Light"/>
        <w:sz w:val="20"/>
        <w:szCs w:val="20"/>
      </w:rPr>
      <w:tab/>
    </w:r>
    <w:r w:rsidRPr="00B53A8A">
      <w:rPr>
        <w:rFonts w:ascii="Open Sans Light" w:hAnsi="Open Sans Light" w:cs="Open Sans Light"/>
        <w:sz w:val="20"/>
        <w:szCs w:val="20"/>
      </w:rPr>
      <w:tab/>
    </w:r>
    <w:r w:rsidR="00C47B94" w:rsidRPr="00B53A8A">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4D7" w14:textId="77777777" w:rsidR="00B53A8A" w:rsidRDefault="00B53A8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4FABt6/P4tAAAA"/>
  </w:docVars>
  <w:rsids>
    <w:rsidRoot w:val="00EE401F"/>
    <w:rsid w:val="00001D79"/>
    <w:rsid w:val="000029A9"/>
    <w:rsid w:val="0000394A"/>
    <w:rsid w:val="00003B6A"/>
    <w:rsid w:val="00007BF7"/>
    <w:rsid w:val="00010BC2"/>
    <w:rsid w:val="00011382"/>
    <w:rsid w:val="00015839"/>
    <w:rsid w:val="000165A3"/>
    <w:rsid w:val="00016D31"/>
    <w:rsid w:val="00017BF6"/>
    <w:rsid w:val="00020003"/>
    <w:rsid w:val="00021C72"/>
    <w:rsid w:val="00022F54"/>
    <w:rsid w:val="00024020"/>
    <w:rsid w:val="000305F6"/>
    <w:rsid w:val="00031AD9"/>
    <w:rsid w:val="00032678"/>
    <w:rsid w:val="000355E1"/>
    <w:rsid w:val="00036F9C"/>
    <w:rsid w:val="00041020"/>
    <w:rsid w:val="000410AD"/>
    <w:rsid w:val="00041823"/>
    <w:rsid w:val="00041C7F"/>
    <w:rsid w:val="0004418D"/>
    <w:rsid w:val="0004514A"/>
    <w:rsid w:val="000456D5"/>
    <w:rsid w:val="00052045"/>
    <w:rsid w:val="00060C85"/>
    <w:rsid w:val="00064DDD"/>
    <w:rsid w:val="000668C5"/>
    <w:rsid w:val="00071D42"/>
    <w:rsid w:val="000747D3"/>
    <w:rsid w:val="00074DAE"/>
    <w:rsid w:val="00080A06"/>
    <w:rsid w:val="00082741"/>
    <w:rsid w:val="00084636"/>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3BE"/>
    <w:rsid w:val="000C3DAE"/>
    <w:rsid w:val="000C7EB5"/>
    <w:rsid w:val="000D648C"/>
    <w:rsid w:val="000D77AF"/>
    <w:rsid w:val="000D7BFF"/>
    <w:rsid w:val="000E4ACE"/>
    <w:rsid w:val="000F1975"/>
    <w:rsid w:val="000F2ACA"/>
    <w:rsid w:val="001014FA"/>
    <w:rsid w:val="00102880"/>
    <w:rsid w:val="001037BA"/>
    <w:rsid w:val="00106929"/>
    <w:rsid w:val="00107DC5"/>
    <w:rsid w:val="00111BAA"/>
    <w:rsid w:val="001149C6"/>
    <w:rsid w:val="00115F06"/>
    <w:rsid w:val="0011680D"/>
    <w:rsid w:val="00117BB2"/>
    <w:rsid w:val="001225FE"/>
    <w:rsid w:val="00122644"/>
    <w:rsid w:val="001253A5"/>
    <w:rsid w:val="0012785C"/>
    <w:rsid w:val="00127D66"/>
    <w:rsid w:val="00130A42"/>
    <w:rsid w:val="001344E2"/>
    <w:rsid w:val="001376D5"/>
    <w:rsid w:val="001420C8"/>
    <w:rsid w:val="00143A0E"/>
    <w:rsid w:val="001443E1"/>
    <w:rsid w:val="00145862"/>
    <w:rsid w:val="0015496B"/>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DEF"/>
    <w:rsid w:val="001A389E"/>
    <w:rsid w:val="001A4049"/>
    <w:rsid w:val="001B11AE"/>
    <w:rsid w:val="001B3960"/>
    <w:rsid w:val="001B3DAF"/>
    <w:rsid w:val="001B4A0A"/>
    <w:rsid w:val="001B4EDC"/>
    <w:rsid w:val="001B647E"/>
    <w:rsid w:val="001C2775"/>
    <w:rsid w:val="001C367C"/>
    <w:rsid w:val="001C73BB"/>
    <w:rsid w:val="001D198E"/>
    <w:rsid w:val="001E3E09"/>
    <w:rsid w:val="001F3347"/>
    <w:rsid w:val="001F392C"/>
    <w:rsid w:val="001F4971"/>
    <w:rsid w:val="001F7D0E"/>
    <w:rsid w:val="00201E25"/>
    <w:rsid w:val="00206B27"/>
    <w:rsid w:val="00210A53"/>
    <w:rsid w:val="00217798"/>
    <w:rsid w:val="002218D0"/>
    <w:rsid w:val="00222550"/>
    <w:rsid w:val="00224A9A"/>
    <w:rsid w:val="00235D28"/>
    <w:rsid w:val="00240F5E"/>
    <w:rsid w:val="00241F01"/>
    <w:rsid w:val="00242169"/>
    <w:rsid w:val="002431B0"/>
    <w:rsid w:val="0024683B"/>
    <w:rsid w:val="00247371"/>
    <w:rsid w:val="00250D1B"/>
    <w:rsid w:val="00251E39"/>
    <w:rsid w:val="002547A0"/>
    <w:rsid w:val="002551A5"/>
    <w:rsid w:val="0025717C"/>
    <w:rsid w:val="00265C11"/>
    <w:rsid w:val="0026787C"/>
    <w:rsid w:val="00271AFA"/>
    <w:rsid w:val="00274DA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4E13"/>
    <w:rsid w:val="002E5E2A"/>
    <w:rsid w:val="002F3DC8"/>
    <w:rsid w:val="002F5383"/>
    <w:rsid w:val="002F62F6"/>
    <w:rsid w:val="002F73AA"/>
    <w:rsid w:val="00300033"/>
    <w:rsid w:val="00300110"/>
    <w:rsid w:val="003013BC"/>
    <w:rsid w:val="0030245D"/>
    <w:rsid w:val="00304A1A"/>
    <w:rsid w:val="00304AE7"/>
    <w:rsid w:val="00304D5C"/>
    <w:rsid w:val="0031740D"/>
    <w:rsid w:val="00320DED"/>
    <w:rsid w:val="00321084"/>
    <w:rsid w:val="00321D1F"/>
    <w:rsid w:val="00322182"/>
    <w:rsid w:val="00324260"/>
    <w:rsid w:val="0032786E"/>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77E1F"/>
    <w:rsid w:val="003802DF"/>
    <w:rsid w:val="0038158A"/>
    <w:rsid w:val="003829CD"/>
    <w:rsid w:val="00383EAC"/>
    <w:rsid w:val="003865C0"/>
    <w:rsid w:val="00386D5E"/>
    <w:rsid w:val="0038707E"/>
    <w:rsid w:val="003920D0"/>
    <w:rsid w:val="00394F0D"/>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638A"/>
    <w:rsid w:val="003E69F4"/>
    <w:rsid w:val="003E7AD4"/>
    <w:rsid w:val="003F3B60"/>
    <w:rsid w:val="003F3F8D"/>
    <w:rsid w:val="003F4A21"/>
    <w:rsid w:val="00400B85"/>
    <w:rsid w:val="00404994"/>
    <w:rsid w:val="004061D4"/>
    <w:rsid w:val="004071FF"/>
    <w:rsid w:val="00410060"/>
    <w:rsid w:val="00420C0B"/>
    <w:rsid w:val="00421B52"/>
    <w:rsid w:val="00422262"/>
    <w:rsid w:val="0042249B"/>
    <w:rsid w:val="00423BFD"/>
    <w:rsid w:val="00427A71"/>
    <w:rsid w:val="00437F44"/>
    <w:rsid w:val="00437F4F"/>
    <w:rsid w:val="004409B2"/>
    <w:rsid w:val="00447A6A"/>
    <w:rsid w:val="004510F1"/>
    <w:rsid w:val="00453052"/>
    <w:rsid w:val="00460576"/>
    <w:rsid w:val="0046256D"/>
    <w:rsid w:val="004629C7"/>
    <w:rsid w:val="00466AA1"/>
    <w:rsid w:val="00470ECB"/>
    <w:rsid w:val="0047132C"/>
    <w:rsid w:val="00471686"/>
    <w:rsid w:val="00473F5D"/>
    <w:rsid w:val="00474D7B"/>
    <w:rsid w:val="004757FB"/>
    <w:rsid w:val="004770F6"/>
    <w:rsid w:val="00477653"/>
    <w:rsid w:val="00481708"/>
    <w:rsid w:val="00481BDA"/>
    <w:rsid w:val="004920B1"/>
    <w:rsid w:val="00496C39"/>
    <w:rsid w:val="00496D5A"/>
    <w:rsid w:val="004972DF"/>
    <w:rsid w:val="004A26D1"/>
    <w:rsid w:val="004A302A"/>
    <w:rsid w:val="004A621B"/>
    <w:rsid w:val="004A71F2"/>
    <w:rsid w:val="004B0542"/>
    <w:rsid w:val="004B09D0"/>
    <w:rsid w:val="004B586D"/>
    <w:rsid w:val="004B677E"/>
    <w:rsid w:val="004C174B"/>
    <w:rsid w:val="004C1E59"/>
    <w:rsid w:val="004C5AA5"/>
    <w:rsid w:val="004D008D"/>
    <w:rsid w:val="004D39BA"/>
    <w:rsid w:val="004D4715"/>
    <w:rsid w:val="004D5FFE"/>
    <w:rsid w:val="004E0BD5"/>
    <w:rsid w:val="004E3452"/>
    <w:rsid w:val="004E3C07"/>
    <w:rsid w:val="004E69D5"/>
    <w:rsid w:val="004E6AD5"/>
    <w:rsid w:val="004F4F4C"/>
    <w:rsid w:val="00500E7D"/>
    <w:rsid w:val="00501180"/>
    <w:rsid w:val="00501533"/>
    <w:rsid w:val="005019F0"/>
    <w:rsid w:val="00502AD6"/>
    <w:rsid w:val="005041F9"/>
    <w:rsid w:val="005053F5"/>
    <w:rsid w:val="00505E65"/>
    <w:rsid w:val="0051275E"/>
    <w:rsid w:val="00514290"/>
    <w:rsid w:val="00515975"/>
    <w:rsid w:val="005169D1"/>
    <w:rsid w:val="00520662"/>
    <w:rsid w:val="00524C4D"/>
    <w:rsid w:val="005306A4"/>
    <w:rsid w:val="0053105E"/>
    <w:rsid w:val="00533E7D"/>
    <w:rsid w:val="00536DD8"/>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926A5"/>
    <w:rsid w:val="00594CC0"/>
    <w:rsid w:val="00595FB4"/>
    <w:rsid w:val="00596459"/>
    <w:rsid w:val="00596BB0"/>
    <w:rsid w:val="005A0F5A"/>
    <w:rsid w:val="005A1365"/>
    <w:rsid w:val="005A25F7"/>
    <w:rsid w:val="005A73D7"/>
    <w:rsid w:val="005A7F70"/>
    <w:rsid w:val="005B3147"/>
    <w:rsid w:val="005B48F0"/>
    <w:rsid w:val="005B4D35"/>
    <w:rsid w:val="005C225A"/>
    <w:rsid w:val="005C3232"/>
    <w:rsid w:val="005C66A0"/>
    <w:rsid w:val="005C69B5"/>
    <w:rsid w:val="005C6A5E"/>
    <w:rsid w:val="005C772C"/>
    <w:rsid w:val="005D0508"/>
    <w:rsid w:val="005D0BC4"/>
    <w:rsid w:val="005D0E94"/>
    <w:rsid w:val="005D4264"/>
    <w:rsid w:val="005D7843"/>
    <w:rsid w:val="005E39C0"/>
    <w:rsid w:val="005E51AC"/>
    <w:rsid w:val="005E5C6C"/>
    <w:rsid w:val="005E6062"/>
    <w:rsid w:val="005F437C"/>
    <w:rsid w:val="005F6146"/>
    <w:rsid w:val="00600A24"/>
    <w:rsid w:val="00602E57"/>
    <w:rsid w:val="00606849"/>
    <w:rsid w:val="0061070A"/>
    <w:rsid w:val="00611788"/>
    <w:rsid w:val="006132C7"/>
    <w:rsid w:val="00614D1D"/>
    <w:rsid w:val="006201B8"/>
    <w:rsid w:val="00622711"/>
    <w:rsid w:val="00625410"/>
    <w:rsid w:val="0062561B"/>
    <w:rsid w:val="00627FCD"/>
    <w:rsid w:val="00631790"/>
    <w:rsid w:val="006349CC"/>
    <w:rsid w:val="0063514A"/>
    <w:rsid w:val="00637CC4"/>
    <w:rsid w:val="006459C3"/>
    <w:rsid w:val="00646487"/>
    <w:rsid w:val="00653887"/>
    <w:rsid w:val="00654224"/>
    <w:rsid w:val="00662827"/>
    <w:rsid w:val="00663663"/>
    <w:rsid w:val="006654A6"/>
    <w:rsid w:val="00665B9C"/>
    <w:rsid w:val="0067196A"/>
    <w:rsid w:val="00672B41"/>
    <w:rsid w:val="00676D63"/>
    <w:rsid w:val="0068382E"/>
    <w:rsid w:val="006866CA"/>
    <w:rsid w:val="0068676B"/>
    <w:rsid w:val="00686D28"/>
    <w:rsid w:val="00693A57"/>
    <w:rsid w:val="006956E1"/>
    <w:rsid w:val="006A1599"/>
    <w:rsid w:val="006A1B46"/>
    <w:rsid w:val="006A6D47"/>
    <w:rsid w:val="006A7DE6"/>
    <w:rsid w:val="006B3294"/>
    <w:rsid w:val="006B5A6A"/>
    <w:rsid w:val="006B6B08"/>
    <w:rsid w:val="006C2907"/>
    <w:rsid w:val="006C4BAD"/>
    <w:rsid w:val="006C5CF9"/>
    <w:rsid w:val="006C7E2D"/>
    <w:rsid w:val="006D111D"/>
    <w:rsid w:val="006D2844"/>
    <w:rsid w:val="006D6A89"/>
    <w:rsid w:val="006E08B8"/>
    <w:rsid w:val="006E11D4"/>
    <w:rsid w:val="006E1226"/>
    <w:rsid w:val="006F0E0E"/>
    <w:rsid w:val="006F2F31"/>
    <w:rsid w:val="006F4B76"/>
    <w:rsid w:val="007029D7"/>
    <w:rsid w:val="007118DB"/>
    <w:rsid w:val="0071291D"/>
    <w:rsid w:val="00712C79"/>
    <w:rsid w:val="00717CE9"/>
    <w:rsid w:val="00717D00"/>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65BF"/>
    <w:rsid w:val="00760D2B"/>
    <w:rsid w:val="007626D0"/>
    <w:rsid w:val="00762701"/>
    <w:rsid w:val="00762B7E"/>
    <w:rsid w:val="00772980"/>
    <w:rsid w:val="00774FA2"/>
    <w:rsid w:val="00780CAB"/>
    <w:rsid w:val="007816A5"/>
    <w:rsid w:val="00781A4D"/>
    <w:rsid w:val="007823A9"/>
    <w:rsid w:val="00784189"/>
    <w:rsid w:val="007870EA"/>
    <w:rsid w:val="00790181"/>
    <w:rsid w:val="0079062E"/>
    <w:rsid w:val="00790908"/>
    <w:rsid w:val="00790F57"/>
    <w:rsid w:val="007910E8"/>
    <w:rsid w:val="00795B3F"/>
    <w:rsid w:val="0079771C"/>
    <w:rsid w:val="007A0324"/>
    <w:rsid w:val="007A0FA1"/>
    <w:rsid w:val="007A3ED0"/>
    <w:rsid w:val="007B05B1"/>
    <w:rsid w:val="007B6CE8"/>
    <w:rsid w:val="007C60FC"/>
    <w:rsid w:val="007D2E41"/>
    <w:rsid w:val="007D2FA6"/>
    <w:rsid w:val="007D6978"/>
    <w:rsid w:val="007E2557"/>
    <w:rsid w:val="007E68EA"/>
    <w:rsid w:val="007E7575"/>
    <w:rsid w:val="007E7FF0"/>
    <w:rsid w:val="007F0126"/>
    <w:rsid w:val="007F2ACE"/>
    <w:rsid w:val="007F40AE"/>
    <w:rsid w:val="007F4D0D"/>
    <w:rsid w:val="007F5F85"/>
    <w:rsid w:val="007F65BD"/>
    <w:rsid w:val="0080371A"/>
    <w:rsid w:val="00806EDA"/>
    <w:rsid w:val="008072D2"/>
    <w:rsid w:val="00810308"/>
    <w:rsid w:val="00810DA4"/>
    <w:rsid w:val="008110F8"/>
    <w:rsid w:val="0081271C"/>
    <w:rsid w:val="008164B5"/>
    <w:rsid w:val="008176B6"/>
    <w:rsid w:val="00820F62"/>
    <w:rsid w:val="008243D2"/>
    <w:rsid w:val="008248BB"/>
    <w:rsid w:val="00827A2D"/>
    <w:rsid w:val="00827E39"/>
    <w:rsid w:val="0083033B"/>
    <w:rsid w:val="00831C16"/>
    <w:rsid w:val="0083377C"/>
    <w:rsid w:val="00837226"/>
    <w:rsid w:val="008412C2"/>
    <w:rsid w:val="00841437"/>
    <w:rsid w:val="0084446A"/>
    <w:rsid w:val="00846258"/>
    <w:rsid w:val="00852726"/>
    <w:rsid w:val="008534F7"/>
    <w:rsid w:val="0085518E"/>
    <w:rsid w:val="00871295"/>
    <w:rsid w:val="008722ED"/>
    <w:rsid w:val="0087429C"/>
    <w:rsid w:val="00874ACE"/>
    <w:rsid w:val="00875CBF"/>
    <w:rsid w:val="00876FEA"/>
    <w:rsid w:val="00877AAD"/>
    <w:rsid w:val="00880CC2"/>
    <w:rsid w:val="008829F9"/>
    <w:rsid w:val="008874F0"/>
    <w:rsid w:val="00887B95"/>
    <w:rsid w:val="00890794"/>
    <w:rsid w:val="00891509"/>
    <w:rsid w:val="00892A10"/>
    <w:rsid w:val="00895151"/>
    <w:rsid w:val="00896BAA"/>
    <w:rsid w:val="008A6203"/>
    <w:rsid w:val="008A6540"/>
    <w:rsid w:val="008A7FCC"/>
    <w:rsid w:val="008B15B7"/>
    <w:rsid w:val="008B3E9F"/>
    <w:rsid w:val="008B7276"/>
    <w:rsid w:val="008C1604"/>
    <w:rsid w:val="008C2944"/>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4319"/>
    <w:rsid w:val="00935B89"/>
    <w:rsid w:val="009424C3"/>
    <w:rsid w:val="009432D2"/>
    <w:rsid w:val="0094339C"/>
    <w:rsid w:val="00943FA1"/>
    <w:rsid w:val="00945E99"/>
    <w:rsid w:val="009467B7"/>
    <w:rsid w:val="00951EA7"/>
    <w:rsid w:val="0095241E"/>
    <w:rsid w:val="009552F3"/>
    <w:rsid w:val="009605FB"/>
    <w:rsid w:val="00964506"/>
    <w:rsid w:val="00966667"/>
    <w:rsid w:val="00972BF4"/>
    <w:rsid w:val="00973627"/>
    <w:rsid w:val="009761D9"/>
    <w:rsid w:val="00976BD5"/>
    <w:rsid w:val="009809ED"/>
    <w:rsid w:val="0098183E"/>
    <w:rsid w:val="00982967"/>
    <w:rsid w:val="00986F29"/>
    <w:rsid w:val="0099076E"/>
    <w:rsid w:val="00990BF3"/>
    <w:rsid w:val="009A1B5A"/>
    <w:rsid w:val="009A4586"/>
    <w:rsid w:val="009A57DE"/>
    <w:rsid w:val="009B0615"/>
    <w:rsid w:val="009B3873"/>
    <w:rsid w:val="009B39BE"/>
    <w:rsid w:val="009B6532"/>
    <w:rsid w:val="009C0D4D"/>
    <w:rsid w:val="009C0EF0"/>
    <w:rsid w:val="009C1188"/>
    <w:rsid w:val="009D0518"/>
    <w:rsid w:val="009D0E37"/>
    <w:rsid w:val="009D445C"/>
    <w:rsid w:val="009D6BE2"/>
    <w:rsid w:val="009D7644"/>
    <w:rsid w:val="009D7891"/>
    <w:rsid w:val="009E3F56"/>
    <w:rsid w:val="009E485D"/>
    <w:rsid w:val="009E609D"/>
    <w:rsid w:val="009E6618"/>
    <w:rsid w:val="009F10C6"/>
    <w:rsid w:val="009F29D2"/>
    <w:rsid w:val="009F6A18"/>
    <w:rsid w:val="00A015EA"/>
    <w:rsid w:val="00A01735"/>
    <w:rsid w:val="00A027D2"/>
    <w:rsid w:val="00A02836"/>
    <w:rsid w:val="00A1195F"/>
    <w:rsid w:val="00A12D3B"/>
    <w:rsid w:val="00A15475"/>
    <w:rsid w:val="00A16A3C"/>
    <w:rsid w:val="00A16D70"/>
    <w:rsid w:val="00A23990"/>
    <w:rsid w:val="00A23AD7"/>
    <w:rsid w:val="00A37B71"/>
    <w:rsid w:val="00A42A3D"/>
    <w:rsid w:val="00A42EEF"/>
    <w:rsid w:val="00A431DF"/>
    <w:rsid w:val="00A43866"/>
    <w:rsid w:val="00A43DA1"/>
    <w:rsid w:val="00A4414A"/>
    <w:rsid w:val="00A476F5"/>
    <w:rsid w:val="00A53757"/>
    <w:rsid w:val="00A55B49"/>
    <w:rsid w:val="00A61872"/>
    <w:rsid w:val="00A63DA5"/>
    <w:rsid w:val="00A64CC8"/>
    <w:rsid w:val="00A64F90"/>
    <w:rsid w:val="00A7119F"/>
    <w:rsid w:val="00A723D6"/>
    <w:rsid w:val="00A740B2"/>
    <w:rsid w:val="00A75470"/>
    <w:rsid w:val="00A827DA"/>
    <w:rsid w:val="00A84031"/>
    <w:rsid w:val="00A844BB"/>
    <w:rsid w:val="00A85FC7"/>
    <w:rsid w:val="00A90D79"/>
    <w:rsid w:val="00A92F1E"/>
    <w:rsid w:val="00A93859"/>
    <w:rsid w:val="00A949D2"/>
    <w:rsid w:val="00A97FEC"/>
    <w:rsid w:val="00AA0B1F"/>
    <w:rsid w:val="00AA1004"/>
    <w:rsid w:val="00AA1C1A"/>
    <w:rsid w:val="00AA2408"/>
    <w:rsid w:val="00AA3B6D"/>
    <w:rsid w:val="00AA785F"/>
    <w:rsid w:val="00AB0918"/>
    <w:rsid w:val="00AB1878"/>
    <w:rsid w:val="00AB31E4"/>
    <w:rsid w:val="00AB4832"/>
    <w:rsid w:val="00AB5065"/>
    <w:rsid w:val="00AB5710"/>
    <w:rsid w:val="00AB5CC4"/>
    <w:rsid w:val="00AB5E48"/>
    <w:rsid w:val="00AC346A"/>
    <w:rsid w:val="00AC3670"/>
    <w:rsid w:val="00AC61EF"/>
    <w:rsid w:val="00AC7CC4"/>
    <w:rsid w:val="00AD13CC"/>
    <w:rsid w:val="00AD504E"/>
    <w:rsid w:val="00AD5CD0"/>
    <w:rsid w:val="00AD6DA4"/>
    <w:rsid w:val="00AE0659"/>
    <w:rsid w:val="00AE1541"/>
    <w:rsid w:val="00AE34E4"/>
    <w:rsid w:val="00AE3534"/>
    <w:rsid w:val="00AE46D1"/>
    <w:rsid w:val="00AE68C4"/>
    <w:rsid w:val="00AE6E92"/>
    <w:rsid w:val="00AF0044"/>
    <w:rsid w:val="00AF0900"/>
    <w:rsid w:val="00AF11A3"/>
    <w:rsid w:val="00AF20AC"/>
    <w:rsid w:val="00AF2CBF"/>
    <w:rsid w:val="00AF457F"/>
    <w:rsid w:val="00AF46BA"/>
    <w:rsid w:val="00AF5EE3"/>
    <w:rsid w:val="00AF6401"/>
    <w:rsid w:val="00B0308E"/>
    <w:rsid w:val="00B035F5"/>
    <w:rsid w:val="00B03D59"/>
    <w:rsid w:val="00B14FEC"/>
    <w:rsid w:val="00B15CF7"/>
    <w:rsid w:val="00B175C6"/>
    <w:rsid w:val="00B2188D"/>
    <w:rsid w:val="00B2301D"/>
    <w:rsid w:val="00B25FA9"/>
    <w:rsid w:val="00B3293A"/>
    <w:rsid w:val="00B35677"/>
    <w:rsid w:val="00B376FF"/>
    <w:rsid w:val="00B378B7"/>
    <w:rsid w:val="00B40372"/>
    <w:rsid w:val="00B4154F"/>
    <w:rsid w:val="00B418E5"/>
    <w:rsid w:val="00B452DF"/>
    <w:rsid w:val="00B46FA9"/>
    <w:rsid w:val="00B47EEA"/>
    <w:rsid w:val="00B524E1"/>
    <w:rsid w:val="00B53A8A"/>
    <w:rsid w:val="00B620A2"/>
    <w:rsid w:val="00B62FE8"/>
    <w:rsid w:val="00B75D7A"/>
    <w:rsid w:val="00B818C3"/>
    <w:rsid w:val="00B849E7"/>
    <w:rsid w:val="00B84C3C"/>
    <w:rsid w:val="00B84CFB"/>
    <w:rsid w:val="00B909A3"/>
    <w:rsid w:val="00B93E65"/>
    <w:rsid w:val="00B94A00"/>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5C40"/>
    <w:rsid w:val="00BD6108"/>
    <w:rsid w:val="00BE0141"/>
    <w:rsid w:val="00BE6540"/>
    <w:rsid w:val="00BE6BC7"/>
    <w:rsid w:val="00BE751C"/>
    <w:rsid w:val="00BF00AC"/>
    <w:rsid w:val="00BF0E91"/>
    <w:rsid w:val="00BF54C8"/>
    <w:rsid w:val="00C00911"/>
    <w:rsid w:val="00C01EA0"/>
    <w:rsid w:val="00C02476"/>
    <w:rsid w:val="00C05F14"/>
    <w:rsid w:val="00C061D7"/>
    <w:rsid w:val="00C1060B"/>
    <w:rsid w:val="00C14ADF"/>
    <w:rsid w:val="00C22AFC"/>
    <w:rsid w:val="00C22FF5"/>
    <w:rsid w:val="00C23194"/>
    <w:rsid w:val="00C26A89"/>
    <w:rsid w:val="00C31E57"/>
    <w:rsid w:val="00C346A2"/>
    <w:rsid w:val="00C357D9"/>
    <w:rsid w:val="00C368E1"/>
    <w:rsid w:val="00C37521"/>
    <w:rsid w:val="00C3774E"/>
    <w:rsid w:val="00C407A4"/>
    <w:rsid w:val="00C47B94"/>
    <w:rsid w:val="00C51996"/>
    <w:rsid w:val="00C5276A"/>
    <w:rsid w:val="00C5791D"/>
    <w:rsid w:val="00C6060A"/>
    <w:rsid w:val="00C6221A"/>
    <w:rsid w:val="00C64402"/>
    <w:rsid w:val="00C739AD"/>
    <w:rsid w:val="00C74CEB"/>
    <w:rsid w:val="00C836C2"/>
    <w:rsid w:val="00C84FB9"/>
    <w:rsid w:val="00C9018B"/>
    <w:rsid w:val="00C92081"/>
    <w:rsid w:val="00C92DF6"/>
    <w:rsid w:val="00C93558"/>
    <w:rsid w:val="00C96871"/>
    <w:rsid w:val="00C97750"/>
    <w:rsid w:val="00CA40F9"/>
    <w:rsid w:val="00CA78B3"/>
    <w:rsid w:val="00CB52DE"/>
    <w:rsid w:val="00CB5E90"/>
    <w:rsid w:val="00CC18BE"/>
    <w:rsid w:val="00CC20F2"/>
    <w:rsid w:val="00CC2DBB"/>
    <w:rsid w:val="00CC440C"/>
    <w:rsid w:val="00CD1552"/>
    <w:rsid w:val="00CD1F35"/>
    <w:rsid w:val="00CE25DD"/>
    <w:rsid w:val="00CE3941"/>
    <w:rsid w:val="00CE589E"/>
    <w:rsid w:val="00CE7299"/>
    <w:rsid w:val="00CE77FD"/>
    <w:rsid w:val="00CE79C6"/>
    <w:rsid w:val="00CF62DE"/>
    <w:rsid w:val="00CF664F"/>
    <w:rsid w:val="00CF7817"/>
    <w:rsid w:val="00D04DCB"/>
    <w:rsid w:val="00D065C4"/>
    <w:rsid w:val="00D120B2"/>
    <w:rsid w:val="00D12381"/>
    <w:rsid w:val="00D13480"/>
    <w:rsid w:val="00D16993"/>
    <w:rsid w:val="00D16A17"/>
    <w:rsid w:val="00D172FA"/>
    <w:rsid w:val="00D21B73"/>
    <w:rsid w:val="00D222EF"/>
    <w:rsid w:val="00D231F6"/>
    <w:rsid w:val="00D2377A"/>
    <w:rsid w:val="00D237DE"/>
    <w:rsid w:val="00D2507C"/>
    <w:rsid w:val="00D252CA"/>
    <w:rsid w:val="00D255DB"/>
    <w:rsid w:val="00D30BA6"/>
    <w:rsid w:val="00D30CAD"/>
    <w:rsid w:val="00D365FB"/>
    <w:rsid w:val="00D3684E"/>
    <w:rsid w:val="00D373AB"/>
    <w:rsid w:val="00D37AB6"/>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87E0A"/>
    <w:rsid w:val="00D92F85"/>
    <w:rsid w:val="00D93E97"/>
    <w:rsid w:val="00DA0205"/>
    <w:rsid w:val="00DA145E"/>
    <w:rsid w:val="00DA4E15"/>
    <w:rsid w:val="00DA5045"/>
    <w:rsid w:val="00DB1105"/>
    <w:rsid w:val="00DB2F53"/>
    <w:rsid w:val="00DB698B"/>
    <w:rsid w:val="00DC4A6C"/>
    <w:rsid w:val="00DC5992"/>
    <w:rsid w:val="00DD2E7A"/>
    <w:rsid w:val="00DD41C0"/>
    <w:rsid w:val="00DD4296"/>
    <w:rsid w:val="00DD531D"/>
    <w:rsid w:val="00DD5463"/>
    <w:rsid w:val="00DD7766"/>
    <w:rsid w:val="00DE1631"/>
    <w:rsid w:val="00DE1D85"/>
    <w:rsid w:val="00E0017B"/>
    <w:rsid w:val="00E00EB1"/>
    <w:rsid w:val="00E07EC8"/>
    <w:rsid w:val="00E11941"/>
    <w:rsid w:val="00E12A95"/>
    <w:rsid w:val="00E15218"/>
    <w:rsid w:val="00E17A69"/>
    <w:rsid w:val="00E26961"/>
    <w:rsid w:val="00E32C93"/>
    <w:rsid w:val="00E37D6B"/>
    <w:rsid w:val="00E407CF"/>
    <w:rsid w:val="00E422DB"/>
    <w:rsid w:val="00E42F4C"/>
    <w:rsid w:val="00E44402"/>
    <w:rsid w:val="00E44F2B"/>
    <w:rsid w:val="00E4625D"/>
    <w:rsid w:val="00E462B5"/>
    <w:rsid w:val="00E50908"/>
    <w:rsid w:val="00E53989"/>
    <w:rsid w:val="00E54A8D"/>
    <w:rsid w:val="00E553D9"/>
    <w:rsid w:val="00E6113B"/>
    <w:rsid w:val="00E637A5"/>
    <w:rsid w:val="00E662BD"/>
    <w:rsid w:val="00E67EC7"/>
    <w:rsid w:val="00E724E3"/>
    <w:rsid w:val="00E7799D"/>
    <w:rsid w:val="00E80538"/>
    <w:rsid w:val="00E83236"/>
    <w:rsid w:val="00E906CF"/>
    <w:rsid w:val="00E91673"/>
    <w:rsid w:val="00E9180C"/>
    <w:rsid w:val="00E95BB4"/>
    <w:rsid w:val="00E962EA"/>
    <w:rsid w:val="00EA091E"/>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7054"/>
    <w:rsid w:val="00F074FB"/>
    <w:rsid w:val="00F123F5"/>
    <w:rsid w:val="00F12F30"/>
    <w:rsid w:val="00F130FA"/>
    <w:rsid w:val="00F13E6E"/>
    <w:rsid w:val="00F15372"/>
    <w:rsid w:val="00F160F5"/>
    <w:rsid w:val="00F166D1"/>
    <w:rsid w:val="00F23578"/>
    <w:rsid w:val="00F23666"/>
    <w:rsid w:val="00F273AA"/>
    <w:rsid w:val="00F27A55"/>
    <w:rsid w:val="00F313F1"/>
    <w:rsid w:val="00F32113"/>
    <w:rsid w:val="00F3219B"/>
    <w:rsid w:val="00F32B87"/>
    <w:rsid w:val="00F430C1"/>
    <w:rsid w:val="00F46473"/>
    <w:rsid w:val="00F46955"/>
    <w:rsid w:val="00F6273B"/>
    <w:rsid w:val="00F63384"/>
    <w:rsid w:val="00F661BB"/>
    <w:rsid w:val="00F66A54"/>
    <w:rsid w:val="00F6787C"/>
    <w:rsid w:val="00F73550"/>
    <w:rsid w:val="00F73BCA"/>
    <w:rsid w:val="00F73ECA"/>
    <w:rsid w:val="00F74C4B"/>
    <w:rsid w:val="00F7501A"/>
    <w:rsid w:val="00F76B3F"/>
    <w:rsid w:val="00F77951"/>
    <w:rsid w:val="00F810BF"/>
    <w:rsid w:val="00F868A0"/>
    <w:rsid w:val="00F91C01"/>
    <w:rsid w:val="00F9790F"/>
    <w:rsid w:val="00FA06CF"/>
    <w:rsid w:val="00FA2F87"/>
    <w:rsid w:val="00FA3DBD"/>
    <w:rsid w:val="00FA6F19"/>
    <w:rsid w:val="00FB0A87"/>
    <w:rsid w:val="00FB106F"/>
    <w:rsid w:val="00FB3F06"/>
    <w:rsid w:val="00FB51FE"/>
    <w:rsid w:val="00FB56CE"/>
    <w:rsid w:val="00FB6946"/>
    <w:rsid w:val="00FB7841"/>
    <w:rsid w:val="00FC5574"/>
    <w:rsid w:val="00FD4547"/>
    <w:rsid w:val="00FD523E"/>
    <w:rsid w:val="00FD6DE6"/>
    <w:rsid w:val="00FE0CD4"/>
    <w:rsid w:val="00FE0E31"/>
    <w:rsid w:val="00FE1734"/>
    <w:rsid w:val="00FE22CD"/>
    <w:rsid w:val="00FE5BE6"/>
    <w:rsid w:val="00FF1291"/>
    <w:rsid w:val="00FF150E"/>
    <w:rsid w:val="00FF2F27"/>
    <w:rsid w:val="00FF3B6B"/>
    <w:rsid w:val="00FF44D6"/>
    <w:rsid w:val="00FF459D"/>
    <w:rsid w:val="00FF4F8F"/>
    <w:rsid w:val="00FF70CC"/>
    <w:rsid w:val="00FF74ED"/>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840</cp:revision>
  <dcterms:created xsi:type="dcterms:W3CDTF">2023-02-27T19:43:00Z</dcterms:created>
  <dcterms:modified xsi:type="dcterms:W3CDTF">2024-05-10T19:43:00Z</dcterms:modified>
</cp:coreProperties>
</file>