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3A869CE6" w:rsidR="3721CB8D" w:rsidRPr="004E5997" w:rsidRDefault="00E663D9" w:rsidP="004E5997">
      <w:pPr>
        <w:pStyle w:val="Heading1"/>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Summary: </w:t>
      </w:r>
      <w:r w:rsidR="0087024F" w:rsidRPr="004E5997">
        <w:rPr>
          <w:rFonts w:ascii="Open Sans SemiBold" w:hAnsi="Open Sans SemiBold" w:cs="Open Sans SemiBold"/>
          <w:color w:val="004848"/>
        </w:rPr>
        <w:t>Phosphorus</w:t>
      </w:r>
      <w:r w:rsidR="009B46BE" w:rsidRPr="004E5997">
        <w:rPr>
          <w:rFonts w:ascii="Open Sans SemiBold" w:hAnsi="Open Sans SemiBold" w:cs="Open Sans SemiBold"/>
          <w:color w:val="004848"/>
        </w:rPr>
        <w:t xml:space="preserve"> </w:t>
      </w:r>
      <w:r w:rsidR="00A024E5">
        <w:rPr>
          <w:rFonts w:ascii="Open Sans SemiBold" w:hAnsi="Open Sans SemiBold" w:cs="Open Sans SemiBold"/>
          <w:color w:val="004848"/>
        </w:rPr>
        <w:t xml:space="preserve">Loading </w:t>
      </w:r>
      <w:r>
        <w:rPr>
          <w:rFonts w:ascii="Open Sans SemiBold" w:hAnsi="Open Sans SemiBold" w:cs="Open Sans SemiBold"/>
          <w:color w:val="004848"/>
        </w:rPr>
        <w:t>and System Capacity</w:t>
      </w:r>
    </w:p>
    <w:p w14:paraId="3F0191E4" w14:textId="5CFBC18E" w:rsidR="3EB168DF" w:rsidRPr="002B42CB" w:rsidRDefault="3EB168DF" w:rsidP="00E962EA">
      <w:pPr>
        <w:widowControl w:val="0"/>
        <w:spacing w:after="0" w:line="240" w:lineRule="auto"/>
      </w:pPr>
    </w:p>
    <w:p w14:paraId="0A738F01" w14:textId="413D4C96" w:rsidR="00EE401F" w:rsidRPr="00000F3E" w:rsidRDefault="0089147C" w:rsidP="00FD6DE6">
      <w:pPr>
        <w:pStyle w:val="Heading1"/>
        <w:keepNext w:val="0"/>
        <w:keepLines w:val="0"/>
        <w:widowControl w:val="0"/>
        <w:spacing w:before="0" w:line="240" w:lineRule="auto"/>
        <w:ind w:left="1440" w:hanging="1440"/>
        <w:rPr>
          <w:rFonts w:ascii="Open Sans" w:eastAsiaTheme="minorEastAsia" w:hAnsi="Open Sans" w:cs="Open Sans"/>
          <w:color w:val="auto"/>
          <w:sz w:val="28"/>
          <w:szCs w:val="28"/>
        </w:rPr>
      </w:pPr>
      <w:r w:rsidRPr="00E637B0">
        <w:rPr>
          <w:rFonts w:ascii="Open Sans SemiBold" w:hAnsi="Open Sans SemiBold" w:cs="Open Sans SemiBold"/>
          <w:noProof/>
          <w:sz w:val="28"/>
          <w:szCs w:val="28"/>
        </w:rPr>
        <w:drawing>
          <wp:anchor distT="0" distB="0" distL="114300" distR="114300" simplePos="0" relativeHeight="251666432" behindDoc="0" locked="0" layoutInCell="1" allowOverlap="1" wp14:anchorId="1A49A438" wp14:editId="3F8B5EC7">
            <wp:simplePos x="0" y="0"/>
            <wp:positionH relativeFrom="column">
              <wp:posOffset>3094990</wp:posOffset>
            </wp:positionH>
            <wp:positionV relativeFrom="paragraph">
              <wp:posOffset>1905</wp:posOffset>
            </wp:positionV>
            <wp:extent cx="3593566" cy="2130950"/>
            <wp:effectExtent l="0" t="0" r="6985" b="3175"/>
            <wp:wrapNone/>
            <wp:docPr id="57" name="Picture 57"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line graph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3566" cy="2130950"/>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E637B0">
        <w:rPr>
          <w:rFonts w:ascii="Open Sans SemiBold" w:hAnsi="Open Sans SemiBold" w:cs="Open Sans SemiBold"/>
          <w:sz w:val="28"/>
          <w:szCs w:val="28"/>
          <w:u w:val="single"/>
        </w:rPr>
        <w:t>Stressor:</w:t>
      </w:r>
      <w:r w:rsidR="00D065C4" w:rsidRPr="00000F3E">
        <w:rPr>
          <w:rFonts w:ascii="Open Sans" w:hAnsi="Open Sans" w:cs="Open Sans"/>
        </w:rPr>
        <w:t xml:space="preserve"> </w:t>
      </w:r>
      <w:r w:rsidR="0009405B" w:rsidRPr="0089147C">
        <w:rPr>
          <w:rFonts w:ascii="Open Sans" w:eastAsiaTheme="minorEastAsia" w:hAnsi="Open Sans" w:cs="Open Sans"/>
          <w:color w:val="auto"/>
          <w:sz w:val="24"/>
          <w:szCs w:val="24"/>
        </w:rPr>
        <w:t>Phosphorus</w:t>
      </w:r>
      <w:r w:rsidR="007D2F0C" w:rsidRPr="0089147C">
        <w:rPr>
          <w:rFonts w:ascii="Open Sans" w:eastAsiaTheme="minorEastAsia" w:hAnsi="Open Sans" w:cs="Open Sans"/>
          <w:color w:val="auto"/>
          <w:sz w:val="24"/>
          <w:szCs w:val="24"/>
        </w:rPr>
        <w:t xml:space="preserve"> (tonnes/ha/year</w:t>
      </w:r>
      <w:r w:rsidR="007D2F0C" w:rsidRPr="00000F3E">
        <w:rPr>
          <w:rFonts w:ascii="Open Sans" w:eastAsiaTheme="minorEastAsia" w:hAnsi="Open Sans" w:cs="Open Sans"/>
          <w:color w:val="auto"/>
          <w:sz w:val="28"/>
          <w:szCs w:val="28"/>
        </w:rPr>
        <w:t>)</w:t>
      </w:r>
    </w:p>
    <w:p w14:paraId="504D6B01" w14:textId="2A72B512" w:rsidR="00E962EA" w:rsidRPr="00000F3E" w:rsidRDefault="00E962EA" w:rsidP="00E962EA">
      <w:pPr>
        <w:spacing w:after="0" w:line="240" w:lineRule="auto"/>
        <w:ind w:left="1440" w:hanging="1440"/>
        <w:rPr>
          <w:rFonts w:ascii="Open Sans" w:hAnsi="Open Sans" w:cs="Open Sans"/>
        </w:rPr>
      </w:pPr>
    </w:p>
    <w:p w14:paraId="11860792" w14:textId="28BCA360" w:rsidR="00041823" w:rsidRPr="0089147C"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637B0">
        <w:rPr>
          <w:rFonts w:ascii="Open Sans SemiBold" w:hAnsi="Open Sans SemiBold" w:cs="Open Sans SemiBold"/>
          <w:sz w:val="28"/>
          <w:szCs w:val="28"/>
          <w:u w:val="single"/>
        </w:rPr>
        <w:t>Response:</w:t>
      </w:r>
      <w:r w:rsidRPr="00000F3E">
        <w:rPr>
          <w:rFonts w:ascii="Open Sans" w:hAnsi="Open Sans" w:cs="Open Sans"/>
        </w:rPr>
        <w:t xml:space="preserve"> </w:t>
      </w:r>
      <w:r w:rsidR="00064DDD" w:rsidRPr="0089147C">
        <w:rPr>
          <w:rFonts w:ascii="Open Sans" w:eastAsiaTheme="minorEastAsia" w:hAnsi="Open Sans" w:cs="Open Sans"/>
          <w:color w:val="auto"/>
          <w:sz w:val="24"/>
          <w:szCs w:val="24"/>
        </w:rPr>
        <w:t>System Capacity (</w:t>
      </w:r>
      <w:r w:rsidR="00FB7841" w:rsidRPr="0089147C">
        <w:rPr>
          <w:rFonts w:ascii="Open Sans" w:eastAsiaTheme="minorEastAsia" w:hAnsi="Open Sans" w:cs="Open Sans"/>
          <w:color w:val="auto"/>
          <w:sz w:val="24"/>
          <w:szCs w:val="24"/>
        </w:rPr>
        <w:t>%)</w:t>
      </w:r>
    </w:p>
    <w:p w14:paraId="6BF4EB18" w14:textId="47BE044E" w:rsidR="00E962EA" w:rsidRPr="00000F3E" w:rsidRDefault="00E962EA" w:rsidP="00E962EA">
      <w:pPr>
        <w:rPr>
          <w:rFonts w:ascii="Open Sans" w:hAnsi="Open Sans" w:cs="Open Sans"/>
        </w:rPr>
      </w:pPr>
    </w:p>
    <w:p w14:paraId="0B987A84" w14:textId="77777777" w:rsidR="00FC6EFD" w:rsidRPr="0089147C" w:rsidRDefault="00FC6EFD" w:rsidP="00FC6EFD">
      <w:pPr>
        <w:pStyle w:val="Heading1"/>
        <w:keepNext w:val="0"/>
        <w:keepLines w:val="0"/>
        <w:widowControl w:val="0"/>
        <w:spacing w:before="0" w:line="240" w:lineRule="auto"/>
        <w:ind w:left="2016" w:hanging="2016"/>
        <w:rPr>
          <w:rFonts w:ascii="Open Sans" w:eastAsiaTheme="minorEastAsia" w:hAnsi="Open Sans" w:cs="Open Sans"/>
          <w:color w:val="auto"/>
          <w:sz w:val="24"/>
          <w:szCs w:val="24"/>
        </w:rPr>
      </w:pPr>
      <w:r w:rsidRPr="00E637B0">
        <w:rPr>
          <w:rFonts w:ascii="Open Sans SemiBold" w:hAnsi="Open Sans SemiBold" w:cs="Open Sans SemiBold"/>
          <w:sz w:val="28"/>
          <w:szCs w:val="28"/>
          <w:u w:val="single"/>
        </w:rPr>
        <w:t>Species:</w:t>
      </w:r>
      <w:r w:rsidRPr="00000F3E">
        <w:rPr>
          <w:rFonts w:ascii="Open Sans" w:hAnsi="Open Sans" w:cs="Open Sans"/>
        </w:rPr>
        <w:t xml:space="preserve"> </w:t>
      </w:r>
      <w:r w:rsidRPr="0089147C">
        <w:rPr>
          <w:rFonts w:ascii="Open Sans" w:eastAsiaTheme="minorEastAsia" w:hAnsi="Open Sans" w:cs="Open Sans"/>
          <w:color w:val="auto"/>
          <w:sz w:val="24"/>
          <w:szCs w:val="24"/>
        </w:rPr>
        <w:t xml:space="preserve">Bull Trout </w:t>
      </w:r>
    </w:p>
    <w:p w14:paraId="206B786C" w14:textId="3B285C6B" w:rsidR="00FC6EFD" w:rsidRPr="0089147C" w:rsidRDefault="00FC6EFD" w:rsidP="00FC6EFD">
      <w:pPr>
        <w:pStyle w:val="Heading1"/>
        <w:keepNext w:val="0"/>
        <w:keepLines w:val="0"/>
        <w:widowControl w:val="0"/>
        <w:spacing w:before="0" w:line="240" w:lineRule="auto"/>
        <w:ind w:left="2016" w:hanging="576"/>
        <w:rPr>
          <w:rFonts w:ascii="Open Sans" w:eastAsiaTheme="minorEastAsia" w:hAnsi="Open Sans" w:cs="Open Sans"/>
          <w:color w:val="auto"/>
          <w:sz w:val="24"/>
          <w:szCs w:val="24"/>
        </w:rPr>
      </w:pPr>
      <w:r w:rsidRPr="0089147C">
        <w:rPr>
          <w:rFonts w:ascii="Open Sans" w:eastAsiaTheme="minorEastAsia" w:hAnsi="Open Sans" w:cs="Open Sans"/>
          <w:color w:val="auto"/>
          <w:sz w:val="24"/>
          <w:szCs w:val="24"/>
        </w:rPr>
        <w:t>(</w:t>
      </w:r>
      <w:r w:rsidRPr="0089147C">
        <w:rPr>
          <w:rFonts w:ascii="Open Sans" w:eastAsiaTheme="minorEastAsia" w:hAnsi="Open Sans" w:cs="Open Sans"/>
          <w:i/>
          <w:iCs/>
          <w:color w:val="auto"/>
          <w:sz w:val="24"/>
          <w:szCs w:val="24"/>
        </w:rPr>
        <w:t>Salvelinus confluentus</w:t>
      </w:r>
      <w:r w:rsidRPr="0089147C">
        <w:rPr>
          <w:rFonts w:ascii="Open Sans" w:eastAsiaTheme="minorEastAsia" w:hAnsi="Open Sans" w:cs="Open Sans"/>
          <w:color w:val="auto"/>
          <w:sz w:val="24"/>
          <w:szCs w:val="24"/>
        </w:rPr>
        <w:t>)</w:t>
      </w:r>
    </w:p>
    <w:p w14:paraId="1503DBF2" w14:textId="77777777" w:rsidR="00FC6EFD" w:rsidRPr="00000F3E" w:rsidRDefault="00FC6EFD" w:rsidP="00360F36">
      <w:pPr>
        <w:pStyle w:val="Heading1"/>
        <w:keepNext w:val="0"/>
        <w:keepLines w:val="0"/>
        <w:widowControl w:val="0"/>
        <w:spacing w:before="0" w:line="240" w:lineRule="auto"/>
        <w:rPr>
          <w:rFonts w:ascii="Open Sans" w:hAnsi="Open Sans" w:cs="Open Sans"/>
          <w:b/>
          <w:bCs/>
          <w:u w:val="single"/>
        </w:rPr>
      </w:pPr>
    </w:p>
    <w:p w14:paraId="336FD5AA" w14:textId="50199107" w:rsidR="003C3F8D" w:rsidRPr="00000F3E" w:rsidRDefault="00887B95" w:rsidP="00360F36">
      <w:pPr>
        <w:pStyle w:val="Heading1"/>
        <w:keepNext w:val="0"/>
        <w:keepLines w:val="0"/>
        <w:widowControl w:val="0"/>
        <w:spacing w:before="0" w:line="240" w:lineRule="auto"/>
        <w:rPr>
          <w:rFonts w:ascii="Open Sans" w:hAnsi="Open Sans" w:cs="Open Sans"/>
          <w:color w:val="auto"/>
          <w:sz w:val="25"/>
          <w:szCs w:val="25"/>
        </w:rPr>
      </w:pPr>
      <w:r w:rsidRPr="00E637B0">
        <w:rPr>
          <w:rFonts w:ascii="Open Sans SemiBold" w:hAnsi="Open Sans SemiBold" w:cs="Open Sans SemiBold"/>
          <w:sz w:val="28"/>
          <w:szCs w:val="28"/>
          <w:u w:val="single"/>
        </w:rPr>
        <w:t>Life Stage:</w:t>
      </w:r>
      <w:r w:rsidRPr="00000F3E">
        <w:rPr>
          <w:rFonts w:ascii="Open Sans" w:hAnsi="Open Sans" w:cs="Open Sans"/>
        </w:rPr>
        <w:t xml:space="preserve"> </w:t>
      </w:r>
      <w:r w:rsidR="00360F36" w:rsidRPr="00DE59A6">
        <w:rPr>
          <w:rFonts w:ascii="Open Sans" w:eastAsiaTheme="minorEastAsia" w:hAnsi="Open Sans" w:cs="Open Sans"/>
          <w:color w:val="auto"/>
          <w:sz w:val="24"/>
          <w:szCs w:val="24"/>
        </w:rPr>
        <w:t>adult</w:t>
      </w:r>
    </w:p>
    <w:p w14:paraId="4FEC31FB" w14:textId="77777777" w:rsidR="00E962EA" w:rsidRPr="00000F3E" w:rsidRDefault="00E962EA" w:rsidP="00E962EA">
      <w:pPr>
        <w:rPr>
          <w:rFonts w:ascii="Open Sans" w:hAnsi="Open Sans" w:cs="Open Sans"/>
        </w:rPr>
      </w:pPr>
    </w:p>
    <w:p w14:paraId="1D40C3FF" w14:textId="77777777" w:rsidR="008E4FA8" w:rsidRPr="00000F3E" w:rsidRDefault="008E4FA8" w:rsidP="008E4FA8">
      <w:pPr>
        <w:pStyle w:val="Heading1"/>
        <w:keepNext w:val="0"/>
        <w:keepLines w:val="0"/>
        <w:widowControl w:val="0"/>
        <w:spacing w:before="0" w:line="240" w:lineRule="auto"/>
        <w:ind w:left="2016" w:hanging="2016"/>
        <w:rPr>
          <w:rFonts w:ascii="Open Sans" w:hAnsi="Open Sans" w:cs="Open Sans"/>
          <w:color w:val="auto"/>
          <w:sz w:val="28"/>
          <w:szCs w:val="28"/>
        </w:rPr>
      </w:pPr>
      <w:r w:rsidRPr="00E637B0">
        <w:rPr>
          <w:rFonts w:ascii="Open Sans SemiBold" w:hAnsi="Open Sans SemiBold" w:cs="Open Sans SemiBold"/>
          <w:sz w:val="28"/>
          <w:szCs w:val="28"/>
          <w:u w:val="single"/>
        </w:rPr>
        <w:t>System:</w:t>
      </w:r>
      <w:r w:rsidRPr="00000F3E">
        <w:rPr>
          <w:rFonts w:ascii="Open Sans" w:hAnsi="Open Sans" w:cs="Open Sans"/>
        </w:rPr>
        <w:t xml:space="preserve"> </w:t>
      </w:r>
      <w:r w:rsidRPr="00DE59A6">
        <w:rPr>
          <w:rFonts w:ascii="Open Sans" w:eastAsiaTheme="minorEastAsia" w:hAnsi="Open Sans" w:cs="Open Sans"/>
          <w:color w:val="auto"/>
          <w:sz w:val="24"/>
          <w:szCs w:val="24"/>
        </w:rPr>
        <w:t>Alberta foothills watersheds, excluding National Parks</w:t>
      </w:r>
    </w:p>
    <w:p w14:paraId="2BF9B157" w14:textId="77777777" w:rsidR="00E962EA" w:rsidRPr="00000F3E" w:rsidRDefault="00E962EA" w:rsidP="00E962EA">
      <w:pPr>
        <w:rPr>
          <w:rFonts w:ascii="Open Sans" w:hAnsi="Open Sans" w:cs="Open Sans"/>
        </w:rPr>
      </w:pPr>
    </w:p>
    <w:p w14:paraId="6946D473" w14:textId="77909BC4" w:rsidR="00164660" w:rsidRPr="00000F3E" w:rsidRDefault="0D60F6D8" w:rsidP="00E962EA">
      <w:pPr>
        <w:pStyle w:val="Heading1"/>
        <w:keepNext w:val="0"/>
        <w:keepLines w:val="0"/>
        <w:widowControl w:val="0"/>
        <w:spacing w:before="0" w:line="240" w:lineRule="auto"/>
        <w:rPr>
          <w:rFonts w:ascii="Open Sans" w:eastAsiaTheme="minorEastAsia" w:hAnsi="Open Sans" w:cs="Open Sans"/>
          <w:color w:val="auto"/>
          <w:sz w:val="23"/>
          <w:szCs w:val="23"/>
        </w:rPr>
      </w:pPr>
      <w:r w:rsidRPr="00E637B0">
        <w:rPr>
          <w:rStyle w:val="Heading2Char"/>
          <w:rFonts w:ascii="Open Sans SemiBold" w:hAnsi="Open Sans SemiBold" w:cs="Open Sans SemiBold"/>
          <w:b w:val="0"/>
          <w:bCs w:val="0"/>
          <w:sz w:val="28"/>
          <w:szCs w:val="28"/>
        </w:rPr>
        <w:t>Function</w:t>
      </w:r>
      <w:r w:rsidR="5D2C5D7E" w:rsidRPr="00E637B0">
        <w:rPr>
          <w:rStyle w:val="Heading2Char"/>
          <w:rFonts w:ascii="Open Sans SemiBold" w:hAnsi="Open Sans SemiBold" w:cs="Open Sans SemiBold"/>
          <w:b w:val="0"/>
          <w:bCs w:val="0"/>
          <w:sz w:val="28"/>
          <w:szCs w:val="28"/>
        </w:rPr>
        <w:t xml:space="preserve"> Derivation</w:t>
      </w:r>
      <w:r w:rsidR="2AEA4719" w:rsidRPr="00E637B0">
        <w:rPr>
          <w:rStyle w:val="Heading2Char"/>
          <w:rFonts w:ascii="Open Sans SemiBold" w:hAnsi="Open Sans SemiBold" w:cs="Open Sans SemiBold"/>
          <w:b w:val="0"/>
          <w:bCs w:val="0"/>
          <w:sz w:val="28"/>
          <w:szCs w:val="28"/>
        </w:rPr>
        <w:t>:</w:t>
      </w:r>
      <w:r w:rsidR="2AEA4719" w:rsidRPr="00000F3E">
        <w:rPr>
          <w:rFonts w:ascii="Open Sans" w:hAnsi="Open Sans" w:cs="Open Sans"/>
        </w:rPr>
        <w:t xml:space="preserve"> </w:t>
      </w:r>
      <w:r w:rsidR="000D648C" w:rsidRPr="00DE59A6">
        <w:rPr>
          <w:rFonts w:ascii="Open Sans" w:eastAsiaTheme="minorEastAsia" w:hAnsi="Open Sans" w:cs="Open Sans"/>
          <w:color w:val="auto"/>
          <w:sz w:val="24"/>
          <w:szCs w:val="24"/>
        </w:rPr>
        <w:t>landscape correlation</w:t>
      </w:r>
    </w:p>
    <w:p w14:paraId="38BF7949" w14:textId="77777777" w:rsidR="00E962EA" w:rsidRPr="00000F3E" w:rsidRDefault="00E962EA" w:rsidP="00E637B0">
      <w:pPr>
        <w:jc w:val="center"/>
        <w:rPr>
          <w:rFonts w:ascii="Open Sans" w:hAnsi="Open Sans" w:cs="Open Sans"/>
        </w:rPr>
      </w:pPr>
    </w:p>
    <w:p w14:paraId="3B072ABE" w14:textId="24487E62" w:rsidR="00AF46BA" w:rsidRPr="00000F3E" w:rsidRDefault="3D17529D" w:rsidP="001A195F">
      <w:pPr>
        <w:pStyle w:val="Heading1"/>
        <w:keepNext w:val="0"/>
        <w:keepLines w:val="0"/>
        <w:widowControl w:val="0"/>
        <w:spacing w:before="0" w:line="240" w:lineRule="auto"/>
        <w:jc w:val="both"/>
        <w:rPr>
          <w:rFonts w:ascii="Open Sans" w:hAnsi="Open Sans" w:cs="Open Sans"/>
          <w:color w:val="auto"/>
          <w:sz w:val="24"/>
          <w:szCs w:val="24"/>
        </w:rPr>
      </w:pPr>
      <w:r w:rsidRPr="00E637B0">
        <w:rPr>
          <w:rFonts w:ascii="Open Sans SemiBold" w:hAnsi="Open Sans SemiBold" w:cs="Open Sans SemiBold"/>
          <w:sz w:val="28"/>
          <w:szCs w:val="28"/>
          <w:u w:val="single"/>
        </w:rPr>
        <w:t>Transferability</w:t>
      </w:r>
      <w:r w:rsidR="59B482CC" w:rsidRPr="00E637B0">
        <w:rPr>
          <w:rFonts w:ascii="Open Sans SemiBold" w:hAnsi="Open Sans SemiBold" w:cs="Open Sans SemiBold"/>
          <w:sz w:val="28"/>
          <w:szCs w:val="28"/>
          <w:u w:val="single"/>
        </w:rPr>
        <w:t xml:space="preserve"> of </w:t>
      </w:r>
      <w:r w:rsidR="32994C73" w:rsidRPr="00E637B0">
        <w:rPr>
          <w:rFonts w:ascii="Open Sans SemiBold" w:hAnsi="Open Sans SemiBold" w:cs="Open Sans SemiBold"/>
          <w:sz w:val="28"/>
          <w:szCs w:val="28"/>
          <w:u w:val="single"/>
        </w:rPr>
        <w:t>Function</w:t>
      </w:r>
      <w:r w:rsidRPr="00E637B0">
        <w:rPr>
          <w:rFonts w:ascii="Open Sans SemiBold" w:hAnsi="Open Sans SemiBold" w:cs="Open Sans SemiBold"/>
          <w:sz w:val="28"/>
          <w:szCs w:val="28"/>
          <w:u w:val="single"/>
        </w:rPr>
        <w:t>:</w:t>
      </w:r>
      <w:r w:rsidR="1384BB29" w:rsidRPr="00000F3E">
        <w:rPr>
          <w:rFonts w:ascii="Open Sans" w:hAnsi="Open Sans" w:cs="Open Sans"/>
          <w:color w:val="auto"/>
        </w:rPr>
        <w:t xml:space="preserve"> </w:t>
      </w:r>
      <w:r w:rsidR="00496C39" w:rsidRPr="00DE59A6">
        <w:rPr>
          <w:rFonts w:ascii="Open Sans" w:eastAsiaTheme="minorEastAsia" w:hAnsi="Open Sans" w:cs="Open Sans"/>
          <w:color w:val="auto"/>
          <w:sz w:val="24"/>
          <w:szCs w:val="24"/>
        </w:rPr>
        <w:t xml:space="preserve">This </w:t>
      </w:r>
      <w:r w:rsidR="00D30BA6" w:rsidRPr="00DE59A6">
        <w:rPr>
          <w:rFonts w:ascii="Open Sans" w:eastAsiaTheme="minorEastAsia" w:hAnsi="Open Sans" w:cs="Open Sans"/>
          <w:color w:val="auto"/>
          <w:sz w:val="24"/>
          <w:szCs w:val="24"/>
        </w:rPr>
        <w:t xml:space="preserve">function could be applied to any of the three species for which it was developed </w:t>
      </w:r>
      <w:r w:rsidR="00982967" w:rsidRPr="00DE59A6">
        <w:rPr>
          <w:rFonts w:ascii="Open Sans" w:eastAsiaTheme="minorEastAsia" w:hAnsi="Open Sans" w:cs="Open Sans"/>
          <w:color w:val="auto"/>
          <w:sz w:val="24"/>
          <w:szCs w:val="24"/>
        </w:rPr>
        <w:t>(Bull Trout, Athabasca Rainbow Trout, and Westslope Cutthroat Trout)</w:t>
      </w:r>
      <w:r w:rsidR="00217798" w:rsidRPr="00DE59A6">
        <w:rPr>
          <w:rFonts w:ascii="Open Sans" w:eastAsiaTheme="minorEastAsia" w:hAnsi="Open Sans" w:cs="Open Sans"/>
          <w:color w:val="auto"/>
          <w:sz w:val="24"/>
          <w:szCs w:val="24"/>
        </w:rPr>
        <w:t xml:space="preserve"> within the Alberta range</w:t>
      </w:r>
      <w:r w:rsidR="00D30BA6" w:rsidRPr="00DE59A6">
        <w:rPr>
          <w:rFonts w:ascii="Open Sans" w:eastAsiaTheme="minorEastAsia" w:hAnsi="Open Sans" w:cs="Open Sans"/>
          <w:color w:val="auto"/>
          <w:sz w:val="24"/>
          <w:szCs w:val="24"/>
        </w:rPr>
        <w:t>.</w:t>
      </w:r>
      <w:r w:rsidR="00A02836" w:rsidRPr="00DE59A6">
        <w:rPr>
          <w:rFonts w:ascii="Open Sans" w:eastAsiaTheme="minorEastAsia" w:hAnsi="Open Sans" w:cs="Open Sans"/>
          <w:color w:val="auto"/>
          <w:sz w:val="24"/>
          <w:szCs w:val="24"/>
        </w:rPr>
        <w:t xml:space="preserve"> </w:t>
      </w:r>
      <w:r w:rsidR="00CC2DBB" w:rsidRPr="00DE59A6">
        <w:rPr>
          <w:rFonts w:ascii="Open Sans" w:eastAsiaTheme="minorEastAsia" w:hAnsi="Open Sans" w:cs="Open Sans"/>
          <w:color w:val="auto"/>
          <w:sz w:val="24"/>
          <w:szCs w:val="24"/>
        </w:rPr>
        <w:t xml:space="preserve">While </w:t>
      </w:r>
      <w:r w:rsidR="00217798" w:rsidRPr="00DE59A6">
        <w:rPr>
          <w:rFonts w:ascii="Open Sans" w:eastAsiaTheme="minorEastAsia" w:hAnsi="Open Sans" w:cs="Open Sans"/>
          <w:color w:val="auto"/>
          <w:sz w:val="24"/>
          <w:szCs w:val="24"/>
        </w:rPr>
        <w:t>phosphorus loading has been shown to influence many aquatic systems</w:t>
      </w:r>
      <w:r w:rsidR="00A23990" w:rsidRPr="00DE59A6">
        <w:rPr>
          <w:rFonts w:ascii="Open Sans" w:eastAsiaTheme="minorEastAsia" w:hAnsi="Open Sans" w:cs="Open Sans"/>
          <w:color w:val="auto"/>
          <w:sz w:val="24"/>
          <w:szCs w:val="24"/>
        </w:rPr>
        <w:t>, this function should be applied to other species with caution.</w:t>
      </w:r>
      <w:r w:rsidR="00A23990" w:rsidRPr="00000F3E">
        <w:rPr>
          <w:rFonts w:ascii="Open Sans" w:hAnsi="Open Sans" w:cs="Open Sans"/>
          <w:color w:val="auto"/>
          <w:sz w:val="24"/>
          <w:szCs w:val="24"/>
        </w:rPr>
        <w:t xml:space="preserve"> </w:t>
      </w:r>
    </w:p>
    <w:p w14:paraId="11FB3050" w14:textId="77777777" w:rsidR="00F60D7F" w:rsidRPr="00000F3E" w:rsidRDefault="00F60D7F" w:rsidP="00F60D7F">
      <w:pPr>
        <w:rPr>
          <w:rFonts w:ascii="Open Sans" w:hAnsi="Open Sans" w:cs="Open Sans"/>
        </w:rPr>
      </w:pPr>
    </w:p>
    <w:p w14:paraId="4A5A8162" w14:textId="77777777" w:rsidR="00E637B0" w:rsidRDefault="00E637B0" w:rsidP="00E637B0">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4E5997" w:rsidRDefault="16666FFA" w:rsidP="004E5997">
      <w:pPr>
        <w:pStyle w:val="Heading1"/>
        <w:spacing w:before="0" w:line="240" w:lineRule="auto"/>
        <w:rPr>
          <w:rFonts w:ascii="Open Sans SemiBold" w:hAnsi="Open Sans SemiBold" w:cs="Open Sans SemiBold"/>
          <w:color w:val="004848"/>
        </w:rPr>
      </w:pPr>
      <w:r w:rsidRPr="004E5997">
        <w:rPr>
          <w:rFonts w:ascii="Open Sans SemiBold" w:hAnsi="Open Sans SemiBold" w:cs="Open Sans SemiBold"/>
          <w:color w:val="004848"/>
        </w:rPr>
        <w:lastRenderedPageBreak/>
        <w:t>D</w:t>
      </w:r>
      <w:r w:rsidR="008D3EF1" w:rsidRPr="004E5997">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6AFF0F3F" w14:textId="77777777" w:rsidR="003B7BF7" w:rsidRPr="00F64B9B" w:rsidRDefault="003B7BF7" w:rsidP="003B7BF7">
      <w:pPr>
        <w:jc w:val="both"/>
        <w:rPr>
          <w:rFonts w:ascii="Open Sans SemiBold" w:eastAsiaTheme="majorEastAsia" w:hAnsi="Open Sans SemiBold" w:cs="Open Sans SemiBold"/>
          <w:color w:val="2F5496" w:themeColor="accent1" w:themeShade="BF"/>
          <w:sz w:val="28"/>
          <w:szCs w:val="28"/>
          <w:u w:val="single"/>
        </w:rPr>
      </w:pPr>
      <w:r w:rsidRPr="00F64B9B">
        <w:rPr>
          <w:rFonts w:ascii="Open Sans SemiBold" w:eastAsiaTheme="majorEastAsia" w:hAnsi="Open Sans SemiBold" w:cs="Open Sans SemiBold"/>
          <w:color w:val="2F5496" w:themeColor="accent1" w:themeShade="BF"/>
          <w:sz w:val="28"/>
          <w:szCs w:val="28"/>
          <w:u w:val="single"/>
        </w:rPr>
        <w:t xml:space="preserve">Derivation of the function: </w:t>
      </w:r>
    </w:p>
    <w:p w14:paraId="44E4DD6F" w14:textId="7D891469" w:rsidR="00C37521" w:rsidRPr="00617A7B" w:rsidRDefault="00C37521" w:rsidP="00C37521">
      <w:pPr>
        <w:jc w:val="both"/>
        <w:rPr>
          <w:rFonts w:ascii="Open Sans" w:hAnsi="Open Sans" w:cs="Open Sans"/>
        </w:rPr>
      </w:pPr>
      <w:r w:rsidRPr="00617A7B">
        <w:rPr>
          <w:rFonts w:ascii="Open Sans" w:hAnsi="Open Sans" w:cs="Open Sans"/>
        </w:rPr>
        <w:t xml:space="preserve">Phosphorus is a major driver of primary production in aquatic ecosystems that affects other biotic and abiotic factors. Low-level inputs of phosphorus during oligotrophic stream fertilization projects in B.C. have resulted in increased fish size and abundance due to substantial increases in trophic productivity with limited impact to water quality (Koning et al. 1998). However, higher levels of nutrient inputs lead to stream eutrophication and degraded water quality, including reduced nocturnal dissolved oxygen in summer (Chung 2013; Jacobsen and Marin 2008) and overall anoxic conditions that can impair biodiversity (Meijering 1991). For example, degraded stream habitats and fish winterkill conditions in Alberta foothills were correlated with theoretical increases in phosphorus runoff due to land use at the watershed scale (Norris 2012). </w:t>
      </w:r>
    </w:p>
    <w:p w14:paraId="1B0FB9C7" w14:textId="77777777" w:rsidR="00C37521" w:rsidRPr="00617A7B" w:rsidRDefault="00C37521" w:rsidP="00C37521">
      <w:pPr>
        <w:jc w:val="both"/>
        <w:rPr>
          <w:rFonts w:ascii="Open Sans" w:hAnsi="Open Sans" w:cs="Open Sans"/>
        </w:rPr>
      </w:pPr>
      <w:r w:rsidRPr="00617A7B">
        <w:rPr>
          <w:rFonts w:ascii="Open Sans" w:hAnsi="Open Sans" w:cs="Open Sans"/>
        </w:rPr>
        <w:t xml:space="preserve">The phosphorus stressor-response curve was developed using potential </w:t>
      </w:r>
      <w:proofErr w:type="gramStart"/>
      <w:r w:rsidRPr="00617A7B">
        <w:rPr>
          <w:rFonts w:ascii="Open Sans" w:hAnsi="Open Sans" w:cs="Open Sans"/>
        </w:rPr>
        <w:t>phosphorous</w:t>
      </w:r>
      <w:proofErr w:type="gramEnd"/>
      <w:r w:rsidRPr="00617A7B">
        <w:rPr>
          <w:rFonts w:ascii="Open Sans" w:hAnsi="Open Sans" w:cs="Open Sans"/>
        </w:rPr>
        <w:t xml:space="preserve"> loading estimates and current FSA risk categories for the three native trout species trout (see MacPherson et al. 2019; AEP 2013). FSA risk categories vary from 0 (functionally extirpated) to 5 (very low risk). The potential phosphorous loading estimate for each watershed was obtained using ALCES© online. Phosphorus runoff was measured as a potential loading value for each watershed (tonnes/ha/year). </w:t>
      </w:r>
    </w:p>
    <w:p w14:paraId="4556C196" w14:textId="77777777" w:rsidR="00C37521" w:rsidRPr="00617A7B" w:rsidRDefault="00C37521" w:rsidP="00C37521">
      <w:pPr>
        <w:jc w:val="both"/>
        <w:rPr>
          <w:rFonts w:ascii="Open Sans" w:hAnsi="Open Sans" w:cs="Open Sans"/>
        </w:rPr>
      </w:pPr>
      <w:r w:rsidRPr="00617A7B">
        <w:rPr>
          <w:rFonts w:ascii="Open Sans" w:hAnsi="Open Sans" w:cs="Open Sans"/>
        </w:rPr>
        <w:t xml:space="preserve">The stressor-response curve was derived </w:t>
      </w:r>
      <w:proofErr w:type="gramStart"/>
      <w:r w:rsidRPr="00617A7B">
        <w:rPr>
          <w:rFonts w:ascii="Open Sans" w:hAnsi="Open Sans" w:cs="Open Sans"/>
        </w:rPr>
        <w:t>by:</w:t>
      </w:r>
      <w:proofErr w:type="gramEnd"/>
      <w:r w:rsidRPr="00617A7B">
        <w:rPr>
          <w:rFonts w:ascii="Open Sans" w:hAnsi="Open Sans" w:cs="Open Sans"/>
        </w:rPr>
        <w:t xml:space="preserve"> a) using logistic regression to develop a statistical model relating probability of being within a given FSA category to the log-transformed phosphorous loading estimate; and, b) converting this statistical model into a stressor-response curve relating phosphorus to a percent reduction native trout system capacity from a pristine reference condition.  Proportional-odds logistic regression was used since the response variable is a multinomial ordered variable (Venables and Ripley 2002).  The proportional-odds assumption of independence among adjacent categories was assessed by comparing similarity of odds ratios among successive categories (Venables and Ripley 2002). </w:t>
      </w:r>
    </w:p>
    <w:p w14:paraId="2C4D7D79" w14:textId="77777777" w:rsidR="00C37521" w:rsidRPr="00617A7B" w:rsidRDefault="00C37521" w:rsidP="00C37521">
      <w:pPr>
        <w:jc w:val="both"/>
        <w:rPr>
          <w:rFonts w:ascii="Open Sans" w:hAnsi="Open Sans" w:cs="Open Sans"/>
        </w:rPr>
      </w:pPr>
      <w:r w:rsidRPr="00617A7B">
        <w:rPr>
          <w:rFonts w:ascii="Open Sans" w:hAnsi="Open Sans" w:cs="Open Sans"/>
        </w:rPr>
        <w:t xml:space="preserve">The stressor-response curve was derived from the proportional-odds logistic-regression models by estimating phosphorous loading estimates required for a 90% probability of falling within a given FSA category.  This is similar logic to quantile regression (Cade and Noon 2003) that recognizes numerous unaccounted factors can be driving a response variable.  FSA categories were converted to percent of reference condition using population percentages at transition points between adjacent FSA categories.  </w:t>
      </w:r>
    </w:p>
    <w:p w14:paraId="49C5CDAF" w14:textId="25F73CEF" w:rsidR="00C739AD" w:rsidRPr="00617A7B" w:rsidRDefault="00C37521" w:rsidP="00C37521">
      <w:pPr>
        <w:jc w:val="both"/>
        <w:rPr>
          <w:rFonts w:ascii="Open Sans" w:hAnsi="Open Sans" w:cs="Open Sans"/>
        </w:rPr>
      </w:pPr>
      <w:r w:rsidRPr="00617A7B">
        <w:rPr>
          <w:rFonts w:ascii="Open Sans" w:hAnsi="Open Sans" w:cs="Open Sans"/>
        </w:rPr>
        <w:t xml:space="preserve">The FSA risk category for trout was rarely 3 or better when phosphorus loading potential was ≥0.1 tonnes/ha/year. No watersheds with </w:t>
      </w:r>
      <w:proofErr w:type="gramStart"/>
      <w:r w:rsidRPr="00617A7B">
        <w:rPr>
          <w:rFonts w:ascii="Open Sans" w:hAnsi="Open Sans" w:cs="Open Sans"/>
        </w:rPr>
        <w:t>a</w:t>
      </w:r>
      <w:proofErr w:type="gramEnd"/>
      <w:r w:rsidRPr="00617A7B">
        <w:rPr>
          <w:rFonts w:ascii="Open Sans" w:hAnsi="Open Sans" w:cs="Open Sans"/>
        </w:rPr>
        <w:t xml:space="preserve"> FSA risk category of 5 were observed.  There was </w:t>
      </w:r>
      <w:r w:rsidRPr="00617A7B">
        <w:rPr>
          <w:rFonts w:ascii="Open Sans" w:hAnsi="Open Sans" w:cs="Open Sans"/>
        </w:rPr>
        <w:lastRenderedPageBreak/>
        <w:t xml:space="preserve">a significant phosphorus level effect (slope = -0.42, 95% profile confidence interval -0.65 to -0.21) with the probability of a watershed being within a lower FSA category increasing with phosphorus loading. From these probability distributions, the stressor-response for system capacity for the 3 native trout species at a given phosphorus loading estimate was developed (Figure </w:t>
      </w:r>
      <w:r w:rsidR="00533E7D" w:rsidRPr="00617A7B">
        <w:rPr>
          <w:rFonts w:ascii="Open Sans" w:hAnsi="Open Sans" w:cs="Open Sans"/>
        </w:rPr>
        <w:t>1</w:t>
      </w:r>
      <w:r w:rsidRPr="00617A7B">
        <w:rPr>
          <w:rFonts w:ascii="Open Sans" w:hAnsi="Open Sans" w:cs="Open Sans"/>
        </w:rPr>
        <w:t>).</w:t>
      </w:r>
    </w:p>
    <w:p w14:paraId="61DCF515" w14:textId="4CDFEF9C" w:rsidR="007F6B84" w:rsidRPr="00617A7B" w:rsidRDefault="007F6B84" w:rsidP="00C37521">
      <w:pPr>
        <w:jc w:val="both"/>
        <w:rPr>
          <w:rFonts w:ascii="Open Sans" w:hAnsi="Open Sans" w:cs="Open Sans"/>
        </w:rPr>
      </w:pPr>
      <w:r w:rsidRPr="00617A7B">
        <w:rPr>
          <w:rFonts w:ascii="Open Sans" w:hAnsi="Open Sans" w:cs="Open Sans"/>
        </w:rPr>
        <w:t xml:space="preserve">A major issue in assessing the importance of potential stressors in driving a response variable is collinearity amongst different stressors (Zuur et al. 2010).  If different stressors are highly correlated, it is impossible to distinguish relative importance without further experimentation.  There was a high degree of correlation between potential phosphorus loading (tonnes/ha/year) and the relative sediment increase across the 73 watersheds (Pearson R = 0.62, 95% confidence interval 0.45 – 0.74).  Thus, it was difficult using the available data to separate the importance of phosphorus or sediment independently on system capacity.  Our approach was to create two separate stressor-response curves (i.e., one for potential phosphorus loading independent of the sediment index and </w:t>
      </w:r>
      <w:proofErr w:type="gramStart"/>
      <w:r w:rsidRPr="00617A7B">
        <w:rPr>
          <w:rFonts w:ascii="Open Sans" w:hAnsi="Open Sans" w:cs="Open Sans"/>
        </w:rPr>
        <w:t>vice-versa</w:t>
      </w:r>
      <w:proofErr w:type="gramEnd"/>
      <w:r w:rsidRPr="00617A7B">
        <w:rPr>
          <w:rFonts w:ascii="Open Sans" w:hAnsi="Open Sans" w:cs="Open Sans"/>
        </w:rPr>
        <w:t>) and acknowledge that the observed response could be driven by the other stressor.  As the Joe model accumulates cumulative effects multiplicatively (additive on a proportional scale), treating these two curves separately would inappropriately overemphasize the expected response. To overcome this issue, we treated sediment and phosphorus in the Joe model using a limiting factor approach.  Simply, only the strongest, negative response from either the phosphorus or sediment stressor-response curves is used to calculate final system capacity.  Anytime a watershed shows either phosphorus or sediment to be a hypothesized key driver, it must be acknowledged that the other stressor (i.e., sediment or phosphorus, respectively) could be the driver given the collinearity.</w:t>
      </w:r>
    </w:p>
    <w:p w14:paraId="7A17CAAC" w14:textId="77777777" w:rsidR="008A31C6" w:rsidRPr="00F64B9B" w:rsidRDefault="008A31C6" w:rsidP="00F64B9B">
      <w:pPr>
        <w:jc w:val="both"/>
        <w:rPr>
          <w:rFonts w:ascii="Open Sans SemiBold" w:eastAsiaTheme="majorEastAsia" w:hAnsi="Open Sans SemiBold" w:cs="Open Sans SemiBold"/>
          <w:color w:val="2F5496" w:themeColor="accent1" w:themeShade="BF"/>
          <w:sz w:val="28"/>
          <w:szCs w:val="28"/>
          <w:u w:val="single"/>
        </w:rPr>
      </w:pPr>
      <w:bookmarkStart w:id="0" w:name="_Hlk158040909"/>
      <w:r w:rsidRPr="00F64B9B">
        <w:rPr>
          <w:rFonts w:ascii="Open Sans SemiBold" w:eastAsiaTheme="majorEastAsia" w:hAnsi="Open Sans SemiBold" w:cs="Open Sans SemiBold"/>
          <w:color w:val="2F5496" w:themeColor="accent1" w:themeShade="BF"/>
          <w:sz w:val="28"/>
          <w:szCs w:val="28"/>
          <w:u w:val="single"/>
        </w:rPr>
        <w:t xml:space="preserve">Source of stressor data to apply the function: </w:t>
      </w:r>
      <w:bookmarkEnd w:id="0"/>
    </w:p>
    <w:p w14:paraId="44BA9D9F" w14:textId="463DC36A" w:rsidR="009B59E7" w:rsidRPr="00502452" w:rsidRDefault="009B59E7" w:rsidP="00C37521">
      <w:pPr>
        <w:jc w:val="both"/>
        <w:rPr>
          <w:rFonts w:ascii="Open Sans" w:hAnsi="Open Sans" w:cs="Open Sans"/>
        </w:rPr>
      </w:pPr>
      <w:r w:rsidRPr="00502452">
        <w:rPr>
          <w:rFonts w:ascii="Open Sans" w:hAnsi="Open Sans" w:cs="Open Sans"/>
        </w:rPr>
        <w:t xml:space="preserve">Total expected phosphorus export was calculated following the Event Mean Concentration method described in Donahue (2013) and is based on land cover type and annual precipitation within the natural region. Phosphorous runoff values were obtained from the </w:t>
      </w:r>
      <w:bookmarkStart w:id="1" w:name="_Hlk157801067"/>
      <w:r w:rsidRPr="00502452">
        <w:rPr>
          <w:rFonts w:ascii="Open Sans" w:hAnsi="Open Sans" w:cs="Open Sans"/>
        </w:rPr>
        <w:t xml:space="preserve">Upper Bow River Basin Cumulative Effects Study (ALCES Group, 2012) </w:t>
      </w:r>
      <w:bookmarkEnd w:id="1"/>
      <w:r w:rsidRPr="00502452">
        <w:rPr>
          <w:rFonts w:ascii="Open Sans" w:hAnsi="Open Sans" w:cs="Open Sans"/>
        </w:rPr>
        <w:t xml:space="preserve">and phosphorous delivery coefficients were obtained from Stelfox et al. (2008). Total estimated phosphorous export was calculated in ALCES Online© based on 2010 footprint within the spatial unit of interest.  </w:t>
      </w:r>
    </w:p>
    <w:p w14:paraId="52E72F46" w14:textId="77777777" w:rsidR="00E44402" w:rsidRDefault="00E44402" w:rsidP="00280FF3">
      <w:pPr>
        <w:jc w:val="both"/>
        <w:rPr>
          <w:rFonts w:asciiTheme="majorHAnsi" w:hAnsiTheme="majorHAnsi" w:cstheme="majorHAnsi"/>
          <w:sz w:val="24"/>
          <w:szCs w:val="24"/>
        </w:rPr>
      </w:pPr>
    </w:p>
    <w:p w14:paraId="228C7F28" w14:textId="77777777" w:rsidR="009809ED" w:rsidRDefault="009809ED" w:rsidP="00280FF3">
      <w:pPr>
        <w:jc w:val="both"/>
        <w:rPr>
          <w:rFonts w:ascii="Arial" w:hAnsi="Arial" w:cs="Arial"/>
          <w:sz w:val="23"/>
          <w:szCs w:val="23"/>
        </w:rPr>
      </w:pPr>
    </w:p>
    <w:p w14:paraId="07659E15" w14:textId="77777777" w:rsidR="008412C2" w:rsidRPr="00AB5710" w:rsidRDefault="008412C2" w:rsidP="00C47B94">
      <w:pPr>
        <w:jc w:val="both"/>
        <w:rPr>
          <w:rFonts w:ascii="Arial" w:hAnsi="Arial" w:cs="Arial"/>
          <w:sz w:val="23"/>
          <w:szCs w:val="23"/>
        </w:rPr>
      </w:pPr>
    </w:p>
    <w:p w14:paraId="58380802" w14:textId="77777777" w:rsidR="00685008" w:rsidRDefault="00685008">
      <w:pPr>
        <w:rPr>
          <w:rFonts w:ascii="Open Sans" w:eastAsiaTheme="majorEastAsia" w:hAnsi="Open Sans" w:cs="Open Sans"/>
          <w:color w:val="004848"/>
          <w:sz w:val="32"/>
          <w:szCs w:val="32"/>
        </w:rPr>
      </w:pPr>
      <w:r>
        <w:rPr>
          <w:rFonts w:ascii="Open Sans" w:hAnsi="Open Sans" w:cs="Open Sans"/>
          <w:color w:val="004848"/>
        </w:rPr>
        <w:br w:type="page"/>
      </w:r>
    </w:p>
    <w:p w14:paraId="1C13D2D6" w14:textId="0F30A509" w:rsidR="00FE22CD" w:rsidRPr="004E5997" w:rsidRDefault="00FE22CD" w:rsidP="00600A24">
      <w:pPr>
        <w:pStyle w:val="Heading1"/>
        <w:spacing w:before="0" w:line="240" w:lineRule="auto"/>
        <w:rPr>
          <w:rFonts w:ascii="Open Sans SemiBold" w:hAnsi="Open Sans SemiBold" w:cs="Open Sans SemiBold"/>
          <w:color w:val="004848"/>
        </w:rPr>
      </w:pPr>
      <w:r w:rsidRPr="004E5997">
        <w:rPr>
          <w:rFonts w:ascii="Open Sans SemiBold" w:hAnsi="Open Sans SemiBold" w:cs="Open Sans SemiBold"/>
          <w:color w:val="004848"/>
        </w:rPr>
        <w:lastRenderedPageBreak/>
        <w:t xml:space="preserve">Stressor-Response </w:t>
      </w:r>
      <w:r w:rsidR="006D6A89" w:rsidRPr="004E5997">
        <w:rPr>
          <w:rFonts w:ascii="Open Sans SemiBold" w:hAnsi="Open Sans SemiBold" w:cs="Open Sans SemiBold"/>
          <w:color w:val="004848"/>
        </w:rPr>
        <w:t>Function</w:t>
      </w:r>
    </w:p>
    <w:p w14:paraId="4FB8F592" w14:textId="1725A627" w:rsidR="00D237DE" w:rsidRPr="00D237DE" w:rsidRDefault="008B15B7" w:rsidP="00D237DE">
      <w:r>
        <w:rPr>
          <w:noProof/>
        </w:rPr>
        <w:drawing>
          <wp:anchor distT="0" distB="0" distL="114300" distR="114300" simplePos="0" relativeHeight="251667456" behindDoc="0" locked="0" layoutInCell="1" allowOverlap="1" wp14:anchorId="387D0D3A" wp14:editId="69128A8F">
            <wp:simplePos x="0" y="0"/>
            <wp:positionH relativeFrom="column">
              <wp:posOffset>333955</wp:posOffset>
            </wp:positionH>
            <wp:positionV relativeFrom="paragraph">
              <wp:posOffset>159108</wp:posOffset>
            </wp:positionV>
            <wp:extent cx="5478448" cy="3248667"/>
            <wp:effectExtent l="0" t="0" r="8255" b="8890"/>
            <wp:wrapNone/>
            <wp:docPr id="1554388581" name="Picture 1554388581"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8581" name="Picture 1554388581" descr="A line graph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087" cy="3252604"/>
                    </a:xfrm>
                    <a:prstGeom prst="rect">
                      <a:avLst/>
                    </a:prstGeom>
                    <a:noFill/>
                  </pic:spPr>
                </pic:pic>
              </a:graphicData>
            </a:graphic>
            <wp14:sizeRelH relativeFrom="margin">
              <wp14:pctWidth>0</wp14:pctWidth>
            </wp14:sizeRelH>
            <wp14:sizeRelV relativeFrom="margin">
              <wp14:pctHeight>0</wp14:pctHeight>
            </wp14:sizeRelV>
          </wp:anchor>
        </w:drawing>
      </w:r>
    </w:p>
    <w:p w14:paraId="24DDEC21" w14:textId="736D122E" w:rsidR="009B39BE" w:rsidRDefault="009B39BE" w:rsidP="00FE22CD">
      <w:pPr>
        <w:keepNext/>
        <w:jc w:val="center"/>
      </w:pPr>
    </w:p>
    <w:p w14:paraId="708D9537" w14:textId="297E082A" w:rsidR="009B39BE" w:rsidRDefault="009B39BE" w:rsidP="00FE22CD">
      <w:pPr>
        <w:keepNext/>
        <w:jc w:val="center"/>
      </w:pPr>
    </w:p>
    <w:p w14:paraId="25A11412" w14:textId="77777777" w:rsidR="009B39BE" w:rsidRDefault="009B39BE" w:rsidP="00FE22CD">
      <w:pPr>
        <w:keepNext/>
        <w:jc w:val="center"/>
      </w:pPr>
    </w:p>
    <w:p w14:paraId="3F8C0D7F" w14:textId="69D12281"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0C2FAB4" w:rsidR="009B39BE" w:rsidRDefault="009B39BE" w:rsidP="00FE22CD">
      <w:pPr>
        <w:keepNext/>
        <w:jc w:val="center"/>
      </w:pPr>
    </w:p>
    <w:p w14:paraId="3A8EC6BF" w14:textId="77777777" w:rsidR="009B39BE" w:rsidRDefault="009B39BE" w:rsidP="00FE22CD">
      <w:pPr>
        <w:keepNext/>
        <w:jc w:val="center"/>
      </w:pPr>
    </w:p>
    <w:p w14:paraId="3C10BD01" w14:textId="2414E9C9" w:rsidR="009B39BE" w:rsidRDefault="009B39BE" w:rsidP="00FE22CD">
      <w:pPr>
        <w:keepNext/>
        <w:jc w:val="center"/>
      </w:pPr>
    </w:p>
    <w:p w14:paraId="628C97CE" w14:textId="77777777" w:rsidR="009B39BE" w:rsidRDefault="009B39BE" w:rsidP="00FE22CD">
      <w:pPr>
        <w:keepNext/>
        <w:jc w:val="center"/>
      </w:pPr>
    </w:p>
    <w:p w14:paraId="743685E4" w14:textId="1F1EBDB5" w:rsidR="009D7644" w:rsidRDefault="009D7644" w:rsidP="00FE22CD">
      <w:pPr>
        <w:keepNext/>
        <w:jc w:val="center"/>
      </w:pPr>
    </w:p>
    <w:p w14:paraId="7AEEA2FD" w14:textId="53CE4BB5" w:rsidR="00FE22CD" w:rsidRPr="00D4128F" w:rsidRDefault="00FE22CD" w:rsidP="009E609D">
      <w:pPr>
        <w:pStyle w:val="Caption"/>
        <w:ind w:left="720" w:hanging="720"/>
        <w:jc w:val="both"/>
        <w:rPr>
          <w:rFonts w:ascii="Open Sans" w:hAnsi="Open Sans" w:cs="Open Sans"/>
          <w:b/>
          <w:bCs/>
          <w:i w:val="0"/>
          <w:iCs w:val="0"/>
          <w:noProof/>
          <w:sz w:val="22"/>
          <w:szCs w:val="22"/>
        </w:rPr>
      </w:pPr>
      <w:r w:rsidRPr="00D4128F">
        <w:rPr>
          <w:rFonts w:ascii="Open Sans" w:hAnsi="Open Sans" w:cs="Open Sans"/>
          <w:b/>
          <w:bCs/>
          <w:i w:val="0"/>
          <w:iCs w:val="0"/>
          <w:sz w:val="22"/>
          <w:szCs w:val="22"/>
        </w:rPr>
        <w:t xml:space="preserve">Figure </w:t>
      </w:r>
      <w:r w:rsidRPr="00D4128F">
        <w:rPr>
          <w:rFonts w:ascii="Open Sans" w:hAnsi="Open Sans" w:cs="Open Sans"/>
          <w:b/>
          <w:bCs/>
          <w:i w:val="0"/>
          <w:iCs w:val="0"/>
          <w:sz w:val="22"/>
          <w:szCs w:val="22"/>
        </w:rPr>
        <w:fldChar w:fldCharType="begin"/>
      </w:r>
      <w:r w:rsidRPr="00D4128F">
        <w:rPr>
          <w:rFonts w:ascii="Open Sans" w:hAnsi="Open Sans" w:cs="Open Sans"/>
          <w:b/>
          <w:bCs/>
          <w:i w:val="0"/>
          <w:iCs w:val="0"/>
          <w:sz w:val="22"/>
          <w:szCs w:val="22"/>
        </w:rPr>
        <w:instrText xml:space="preserve"> SEQ Figure \* ARABIC </w:instrText>
      </w:r>
      <w:r w:rsidRPr="00D4128F">
        <w:rPr>
          <w:rFonts w:ascii="Open Sans" w:hAnsi="Open Sans" w:cs="Open Sans"/>
          <w:b/>
          <w:bCs/>
          <w:i w:val="0"/>
          <w:iCs w:val="0"/>
          <w:sz w:val="22"/>
          <w:szCs w:val="22"/>
        </w:rPr>
        <w:fldChar w:fldCharType="separate"/>
      </w:r>
      <w:r w:rsidRPr="00D4128F">
        <w:rPr>
          <w:rFonts w:ascii="Open Sans" w:hAnsi="Open Sans" w:cs="Open Sans"/>
          <w:b/>
          <w:bCs/>
          <w:i w:val="0"/>
          <w:iCs w:val="0"/>
          <w:noProof/>
          <w:sz w:val="22"/>
          <w:szCs w:val="22"/>
        </w:rPr>
        <w:t>1</w:t>
      </w:r>
      <w:r w:rsidRPr="00D4128F">
        <w:rPr>
          <w:rFonts w:ascii="Open Sans" w:hAnsi="Open Sans" w:cs="Open Sans"/>
          <w:b/>
          <w:bCs/>
          <w:i w:val="0"/>
          <w:iCs w:val="0"/>
          <w:sz w:val="22"/>
          <w:szCs w:val="22"/>
        </w:rPr>
        <w:fldChar w:fldCharType="end"/>
      </w:r>
      <w:r w:rsidRPr="00D4128F">
        <w:rPr>
          <w:rFonts w:ascii="Open Sans" w:hAnsi="Open Sans" w:cs="Open Sans"/>
          <w:b/>
          <w:bCs/>
          <w:i w:val="0"/>
          <w:iCs w:val="0"/>
          <w:sz w:val="22"/>
          <w:szCs w:val="22"/>
        </w:rPr>
        <w:t xml:space="preserve">: </w:t>
      </w:r>
      <w:r w:rsidR="007910E8" w:rsidRPr="00D4128F">
        <w:rPr>
          <w:rFonts w:ascii="Open Sans" w:hAnsi="Open Sans" w:cs="Open Sans"/>
          <w:i w:val="0"/>
          <w:iCs w:val="0"/>
          <w:sz w:val="22"/>
          <w:szCs w:val="22"/>
        </w:rPr>
        <w:t>Stressor-response curve depicting the expected relationship between potential phosphorus loading (tonnes/ha/year) (log scale) and the system capacity of three species of native trout.</w:t>
      </w:r>
    </w:p>
    <w:p w14:paraId="6BB1F776" w14:textId="77777777" w:rsidR="003C6B1C" w:rsidRDefault="003C6B1C" w:rsidP="00676D63">
      <w:pPr>
        <w:pStyle w:val="Heading1"/>
        <w:spacing w:before="0" w:line="240" w:lineRule="auto"/>
        <w:rPr>
          <w:rFonts w:ascii="Open Sans" w:hAnsi="Open Sans" w:cs="Open Sans"/>
          <w:color w:val="004848"/>
        </w:rPr>
      </w:pPr>
    </w:p>
    <w:p w14:paraId="2FEFCCA8" w14:textId="4B4330BF" w:rsidR="00FE22CD" w:rsidRPr="004E5997" w:rsidRDefault="00FE22CD" w:rsidP="00676D63">
      <w:pPr>
        <w:pStyle w:val="Heading1"/>
        <w:spacing w:before="0" w:line="240" w:lineRule="auto"/>
        <w:rPr>
          <w:rFonts w:ascii="Open Sans SemiBold" w:hAnsi="Open Sans SemiBold" w:cs="Open Sans SemiBold"/>
          <w:color w:val="004848"/>
        </w:rPr>
      </w:pPr>
      <w:r w:rsidRPr="004E5997">
        <w:rPr>
          <w:rFonts w:ascii="Open Sans SemiBold" w:hAnsi="Open Sans SemiBold" w:cs="Open Sans SemiBold"/>
          <w:color w:val="004848"/>
        </w:rPr>
        <w:t>Stressor-Response Table</w:t>
      </w:r>
    </w:p>
    <w:p w14:paraId="1D8B0F8B" w14:textId="6DE668F6" w:rsidR="00FE22CD" w:rsidRPr="00D4128F" w:rsidRDefault="00FE22CD" w:rsidP="009E609D">
      <w:pPr>
        <w:pStyle w:val="Caption"/>
        <w:keepNext/>
        <w:ind w:left="720" w:hanging="720"/>
        <w:rPr>
          <w:rFonts w:ascii="Open Sans" w:hAnsi="Open Sans" w:cs="Open Sans"/>
          <w:b/>
          <w:bCs/>
          <w:i w:val="0"/>
          <w:iCs w:val="0"/>
          <w:sz w:val="22"/>
          <w:szCs w:val="22"/>
        </w:rPr>
      </w:pPr>
      <w:r w:rsidRPr="00D4128F">
        <w:rPr>
          <w:rFonts w:ascii="Open Sans" w:hAnsi="Open Sans" w:cs="Open Sans"/>
          <w:b/>
          <w:bCs/>
          <w:i w:val="0"/>
          <w:iCs w:val="0"/>
          <w:sz w:val="22"/>
          <w:szCs w:val="22"/>
        </w:rPr>
        <w:t xml:space="preserve">Table </w:t>
      </w:r>
      <w:r w:rsidRPr="00D4128F">
        <w:rPr>
          <w:rFonts w:ascii="Open Sans" w:hAnsi="Open Sans" w:cs="Open Sans"/>
          <w:b/>
          <w:bCs/>
          <w:i w:val="0"/>
          <w:iCs w:val="0"/>
          <w:sz w:val="22"/>
          <w:szCs w:val="22"/>
        </w:rPr>
        <w:fldChar w:fldCharType="begin"/>
      </w:r>
      <w:r w:rsidRPr="00D4128F">
        <w:rPr>
          <w:rFonts w:ascii="Open Sans" w:hAnsi="Open Sans" w:cs="Open Sans"/>
          <w:b/>
          <w:bCs/>
          <w:i w:val="0"/>
          <w:iCs w:val="0"/>
          <w:sz w:val="22"/>
          <w:szCs w:val="22"/>
        </w:rPr>
        <w:instrText xml:space="preserve"> SEQ Table \* ARABIC </w:instrText>
      </w:r>
      <w:r w:rsidRPr="00D4128F">
        <w:rPr>
          <w:rFonts w:ascii="Open Sans" w:hAnsi="Open Sans" w:cs="Open Sans"/>
          <w:b/>
          <w:bCs/>
          <w:i w:val="0"/>
          <w:iCs w:val="0"/>
          <w:sz w:val="22"/>
          <w:szCs w:val="22"/>
        </w:rPr>
        <w:fldChar w:fldCharType="separate"/>
      </w:r>
      <w:r w:rsidRPr="00D4128F">
        <w:rPr>
          <w:rFonts w:ascii="Open Sans" w:hAnsi="Open Sans" w:cs="Open Sans"/>
          <w:b/>
          <w:bCs/>
          <w:i w:val="0"/>
          <w:iCs w:val="0"/>
          <w:noProof/>
          <w:sz w:val="22"/>
          <w:szCs w:val="22"/>
        </w:rPr>
        <w:t>1</w:t>
      </w:r>
      <w:r w:rsidRPr="00D4128F">
        <w:rPr>
          <w:rFonts w:ascii="Open Sans" w:hAnsi="Open Sans" w:cs="Open Sans"/>
          <w:b/>
          <w:bCs/>
          <w:i w:val="0"/>
          <w:iCs w:val="0"/>
          <w:sz w:val="22"/>
          <w:szCs w:val="22"/>
        </w:rPr>
        <w:fldChar w:fldCharType="end"/>
      </w:r>
      <w:r w:rsidRPr="00D4128F">
        <w:rPr>
          <w:rFonts w:ascii="Open Sans" w:hAnsi="Open Sans" w:cs="Open Sans"/>
          <w:b/>
          <w:bCs/>
          <w:i w:val="0"/>
          <w:iCs w:val="0"/>
          <w:sz w:val="22"/>
          <w:szCs w:val="22"/>
        </w:rPr>
        <w:t xml:space="preserve">: </w:t>
      </w:r>
      <w:r w:rsidR="00265C11" w:rsidRPr="00D4128F">
        <w:rPr>
          <w:rFonts w:ascii="Open Sans" w:hAnsi="Open Sans" w:cs="Open Sans"/>
          <w:i w:val="0"/>
          <w:iCs w:val="0"/>
          <w:sz w:val="22"/>
          <w:szCs w:val="22"/>
        </w:rPr>
        <w:t xml:space="preserve">The relationship between </w:t>
      </w:r>
      <w:r w:rsidR="00F22D68">
        <w:rPr>
          <w:rFonts w:ascii="Open Sans" w:hAnsi="Open Sans" w:cs="Open Sans"/>
          <w:i w:val="0"/>
          <w:iCs w:val="0"/>
          <w:sz w:val="22"/>
          <w:szCs w:val="22"/>
        </w:rPr>
        <w:t>phosphorus loading</w:t>
      </w:r>
      <w:r w:rsidR="0031740D" w:rsidRPr="00D4128F">
        <w:rPr>
          <w:rFonts w:ascii="Open Sans" w:hAnsi="Open Sans" w:cs="Open Sans"/>
          <w:i w:val="0"/>
          <w:iCs w:val="0"/>
          <w:sz w:val="22"/>
          <w:szCs w:val="22"/>
        </w:rPr>
        <w:t xml:space="preserve"> </w:t>
      </w:r>
      <w:r w:rsidR="00265C11" w:rsidRPr="00D4128F">
        <w:rPr>
          <w:rFonts w:ascii="Open Sans" w:hAnsi="Open Sans" w:cs="Open Sans"/>
          <w:i w:val="0"/>
          <w:iCs w:val="0"/>
          <w:sz w:val="22"/>
          <w:szCs w:val="22"/>
        </w:rPr>
        <w:t xml:space="preserve">and system capacity. </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62498EF8" w:rsidR="00FE22CD" w:rsidRPr="007B215A" w:rsidRDefault="00101B41" w:rsidP="00210A53">
            <w:pPr>
              <w:spacing w:after="0" w:line="240" w:lineRule="auto"/>
              <w:jc w:val="center"/>
              <w:rPr>
                <w:rFonts w:ascii="Open Sans" w:eastAsia="Times New Roman" w:hAnsi="Open Sans" w:cs="Open Sans"/>
                <w:b/>
                <w:bCs/>
                <w:color w:val="000000"/>
              </w:rPr>
            </w:pPr>
            <w:r w:rsidRPr="007B215A">
              <w:rPr>
                <w:rFonts w:ascii="Open Sans" w:eastAsia="Times New Roman" w:hAnsi="Open Sans" w:cs="Open Sans"/>
                <w:b/>
                <w:bCs/>
                <w:color w:val="000000"/>
              </w:rPr>
              <w:t>Phosphorus (tonnes/ha/year)</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7B215A" w:rsidRDefault="00FE22CD" w:rsidP="00210A53">
            <w:pPr>
              <w:spacing w:after="0" w:line="240" w:lineRule="auto"/>
              <w:jc w:val="center"/>
              <w:rPr>
                <w:rFonts w:ascii="Open Sans" w:eastAsia="Times New Roman" w:hAnsi="Open Sans" w:cs="Open Sans"/>
                <w:b/>
                <w:bCs/>
                <w:color w:val="000000"/>
              </w:rPr>
            </w:pPr>
            <w:r w:rsidRPr="007B215A">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7B215A" w:rsidRDefault="00FE22CD" w:rsidP="00210A53">
            <w:pPr>
              <w:spacing w:after="0" w:line="240" w:lineRule="auto"/>
              <w:jc w:val="center"/>
              <w:rPr>
                <w:rFonts w:ascii="Open Sans" w:eastAsia="Times New Roman" w:hAnsi="Open Sans" w:cs="Open Sans"/>
                <w:b/>
                <w:bCs/>
                <w:color w:val="000000"/>
              </w:rPr>
            </w:pPr>
            <w:r w:rsidRPr="007B215A">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7B215A" w:rsidRDefault="00FE22CD" w:rsidP="00210A53">
            <w:pPr>
              <w:spacing w:after="0" w:line="240" w:lineRule="auto"/>
              <w:jc w:val="center"/>
              <w:rPr>
                <w:rFonts w:ascii="Open Sans" w:eastAsia="Times New Roman" w:hAnsi="Open Sans" w:cs="Open Sans"/>
                <w:b/>
                <w:bCs/>
                <w:color w:val="000000"/>
              </w:rPr>
            </w:pPr>
            <w:r w:rsidRPr="007B215A">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7B215A" w:rsidRDefault="00FE22CD" w:rsidP="00210A53">
            <w:pPr>
              <w:spacing w:after="0" w:line="240" w:lineRule="auto"/>
              <w:jc w:val="center"/>
              <w:rPr>
                <w:rFonts w:ascii="Open Sans" w:eastAsia="Times New Roman" w:hAnsi="Open Sans" w:cs="Open Sans"/>
                <w:b/>
                <w:bCs/>
                <w:color w:val="000000"/>
              </w:rPr>
            </w:pPr>
            <w:r w:rsidRPr="007B215A">
              <w:rPr>
                <w:rFonts w:ascii="Open Sans" w:eastAsia="Times New Roman" w:hAnsi="Open Sans" w:cs="Open Sans"/>
                <w:b/>
                <w:bCs/>
                <w:color w:val="000000"/>
              </w:rPr>
              <w:t>Upper Limit</w:t>
            </w:r>
          </w:p>
        </w:tc>
      </w:tr>
      <w:tr w:rsidR="00FD7296" w:rsidRPr="00CE7299"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63A7BBF1"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0.01</w:t>
            </w:r>
          </w:p>
        </w:tc>
        <w:tc>
          <w:tcPr>
            <w:tcW w:w="2970" w:type="dxa"/>
            <w:tcBorders>
              <w:top w:val="nil"/>
              <w:left w:val="nil"/>
              <w:bottom w:val="nil"/>
              <w:right w:val="nil"/>
            </w:tcBorders>
            <w:shd w:val="clear" w:color="auto" w:fill="auto"/>
            <w:noWrap/>
            <w:vAlign w:val="bottom"/>
          </w:tcPr>
          <w:p w14:paraId="4D32AD4F" w14:textId="34E1F407"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5B5B8476"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60F58D7D"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4741E075"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100</w:t>
            </w:r>
          </w:p>
        </w:tc>
      </w:tr>
      <w:tr w:rsidR="00FD7296"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454CBF7F"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0.06</w:t>
            </w:r>
          </w:p>
        </w:tc>
        <w:tc>
          <w:tcPr>
            <w:tcW w:w="2970" w:type="dxa"/>
            <w:tcBorders>
              <w:top w:val="nil"/>
              <w:left w:val="nil"/>
              <w:bottom w:val="nil"/>
              <w:right w:val="nil"/>
            </w:tcBorders>
            <w:shd w:val="clear" w:color="auto" w:fill="auto"/>
            <w:noWrap/>
            <w:vAlign w:val="bottom"/>
          </w:tcPr>
          <w:p w14:paraId="66083054" w14:textId="2C5B408E"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70</w:t>
            </w:r>
          </w:p>
        </w:tc>
        <w:tc>
          <w:tcPr>
            <w:tcW w:w="1255" w:type="dxa"/>
            <w:tcBorders>
              <w:top w:val="nil"/>
              <w:left w:val="nil"/>
              <w:bottom w:val="nil"/>
              <w:right w:val="nil"/>
            </w:tcBorders>
            <w:shd w:val="clear" w:color="auto" w:fill="auto"/>
            <w:noWrap/>
            <w:vAlign w:val="bottom"/>
          </w:tcPr>
          <w:p w14:paraId="6332F88E" w14:textId="43C8641F"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79B5DF9C"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51506885"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100</w:t>
            </w:r>
          </w:p>
        </w:tc>
      </w:tr>
      <w:tr w:rsidR="00FD7296"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14C6921B"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00D1E3A8" w14:textId="20DFDCD8"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50</w:t>
            </w:r>
          </w:p>
        </w:tc>
        <w:tc>
          <w:tcPr>
            <w:tcW w:w="1255" w:type="dxa"/>
            <w:tcBorders>
              <w:top w:val="nil"/>
              <w:left w:val="nil"/>
              <w:bottom w:val="nil"/>
              <w:right w:val="nil"/>
            </w:tcBorders>
            <w:shd w:val="clear" w:color="auto" w:fill="auto"/>
            <w:noWrap/>
            <w:vAlign w:val="bottom"/>
          </w:tcPr>
          <w:p w14:paraId="0F175C28" w14:textId="47280570"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656571A7"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7FC5F6F2"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100</w:t>
            </w:r>
          </w:p>
        </w:tc>
      </w:tr>
      <w:tr w:rsidR="00FD7296"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689F959A"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14.2</w:t>
            </w:r>
          </w:p>
        </w:tc>
        <w:tc>
          <w:tcPr>
            <w:tcW w:w="2970" w:type="dxa"/>
            <w:tcBorders>
              <w:top w:val="nil"/>
              <w:left w:val="nil"/>
              <w:bottom w:val="nil"/>
              <w:right w:val="nil"/>
            </w:tcBorders>
            <w:shd w:val="clear" w:color="auto" w:fill="auto"/>
            <w:noWrap/>
            <w:vAlign w:val="bottom"/>
          </w:tcPr>
          <w:p w14:paraId="399F2B9E" w14:textId="4D3B202B"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2A5915C1" w14:textId="704DE8AF"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A46049" w14:textId="77E48452"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E9BD2" w14:textId="14B53CA5"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100</w:t>
            </w:r>
          </w:p>
        </w:tc>
      </w:tr>
      <w:tr w:rsidR="00FD7296" w:rsidRPr="00CE7299" w14:paraId="6773E004" w14:textId="77777777" w:rsidTr="00CE79C6">
        <w:trPr>
          <w:trHeight w:val="300"/>
        </w:trPr>
        <w:tc>
          <w:tcPr>
            <w:tcW w:w="2160" w:type="dxa"/>
            <w:tcBorders>
              <w:top w:val="nil"/>
              <w:left w:val="nil"/>
              <w:bottom w:val="nil"/>
              <w:right w:val="nil"/>
            </w:tcBorders>
            <w:shd w:val="clear" w:color="auto" w:fill="auto"/>
            <w:noWrap/>
            <w:vAlign w:val="bottom"/>
          </w:tcPr>
          <w:p w14:paraId="7D65FC51" w14:textId="07E44D5A"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978</w:t>
            </w:r>
          </w:p>
        </w:tc>
        <w:tc>
          <w:tcPr>
            <w:tcW w:w="2970" w:type="dxa"/>
            <w:tcBorders>
              <w:top w:val="nil"/>
              <w:left w:val="nil"/>
              <w:bottom w:val="nil"/>
              <w:right w:val="nil"/>
            </w:tcBorders>
            <w:shd w:val="clear" w:color="auto" w:fill="auto"/>
            <w:noWrap/>
            <w:vAlign w:val="bottom"/>
          </w:tcPr>
          <w:p w14:paraId="4C8DA80F" w14:textId="5C782D24"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7175325F" w14:textId="0968A7CE"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1A4812" w14:textId="0EFA48A1"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4BA132" w14:textId="32C10435" w:rsidR="00FD7296" w:rsidRPr="007B215A" w:rsidRDefault="00FD7296" w:rsidP="00FD7296">
            <w:pPr>
              <w:spacing w:after="0" w:line="240" w:lineRule="auto"/>
              <w:jc w:val="right"/>
              <w:rPr>
                <w:rFonts w:ascii="Open Sans" w:eastAsia="Times New Roman" w:hAnsi="Open Sans" w:cs="Open Sans"/>
                <w:color w:val="000000"/>
              </w:rPr>
            </w:pPr>
            <w:r w:rsidRPr="007B215A">
              <w:rPr>
                <w:rFonts w:ascii="Open Sans" w:hAnsi="Open Sans" w:cs="Open Sans"/>
                <w:color w:val="000000"/>
              </w:rPr>
              <w:t>100</w:t>
            </w:r>
          </w:p>
        </w:tc>
      </w:tr>
      <w:tr w:rsidR="00FE22CD" w:rsidRPr="00CE7299" w14:paraId="05A2FC0D" w14:textId="77777777" w:rsidTr="00CE79C6">
        <w:trPr>
          <w:trHeight w:val="300"/>
        </w:trPr>
        <w:tc>
          <w:tcPr>
            <w:tcW w:w="2160" w:type="dxa"/>
            <w:tcBorders>
              <w:top w:val="nil"/>
              <w:left w:val="nil"/>
              <w:bottom w:val="nil"/>
              <w:right w:val="nil"/>
            </w:tcBorders>
            <w:shd w:val="clear" w:color="auto" w:fill="auto"/>
            <w:noWrap/>
            <w:vAlign w:val="bottom"/>
          </w:tcPr>
          <w:p w14:paraId="6365E606" w14:textId="592A84F8" w:rsidR="00FE22CD" w:rsidRPr="00A84C21" w:rsidRDefault="00FE22CD" w:rsidP="00210A53">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57365596" w14:textId="163DBA8E" w:rsidR="00FE22CD" w:rsidRPr="00A84C21" w:rsidRDefault="00FE22CD" w:rsidP="00210A53">
            <w:pPr>
              <w:spacing w:after="0" w:line="240" w:lineRule="auto"/>
              <w:jc w:val="right"/>
              <w:rPr>
                <w:rFonts w:ascii="Open Sans" w:eastAsia="Times New Roman" w:hAnsi="Open Sans" w:cs="Open Sans"/>
                <w:color w:val="000000"/>
              </w:rPr>
            </w:pPr>
          </w:p>
        </w:tc>
        <w:tc>
          <w:tcPr>
            <w:tcW w:w="1255" w:type="dxa"/>
            <w:tcBorders>
              <w:top w:val="nil"/>
              <w:left w:val="nil"/>
              <w:bottom w:val="nil"/>
              <w:right w:val="nil"/>
            </w:tcBorders>
            <w:shd w:val="clear" w:color="auto" w:fill="auto"/>
            <w:noWrap/>
            <w:vAlign w:val="bottom"/>
          </w:tcPr>
          <w:p w14:paraId="5A7E3A6D" w14:textId="76903B3E" w:rsidR="00FE22CD" w:rsidRPr="00A84C21" w:rsidRDefault="00FE22CD" w:rsidP="00210A53">
            <w:pPr>
              <w:spacing w:after="0" w:line="240" w:lineRule="auto"/>
              <w:jc w:val="right"/>
              <w:rPr>
                <w:rFonts w:ascii="Open Sans" w:eastAsia="Times New Roman" w:hAnsi="Open Sans" w:cs="Open Sans"/>
                <w:color w:val="000000"/>
              </w:rPr>
            </w:pPr>
          </w:p>
        </w:tc>
        <w:tc>
          <w:tcPr>
            <w:tcW w:w="990" w:type="dxa"/>
            <w:tcBorders>
              <w:top w:val="nil"/>
              <w:left w:val="nil"/>
              <w:bottom w:val="nil"/>
              <w:right w:val="nil"/>
            </w:tcBorders>
            <w:shd w:val="clear" w:color="auto" w:fill="auto"/>
            <w:noWrap/>
            <w:vAlign w:val="bottom"/>
          </w:tcPr>
          <w:p w14:paraId="379446C2" w14:textId="4FE3F08D" w:rsidR="00FE22CD" w:rsidRPr="00A84C21" w:rsidRDefault="00FE22CD" w:rsidP="00210A5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tcPr>
          <w:p w14:paraId="4E6B4E2D" w14:textId="5CA8B992" w:rsidR="00FE22CD" w:rsidRPr="00A84C21" w:rsidRDefault="00FE22CD" w:rsidP="00210A53">
            <w:pPr>
              <w:spacing w:after="0" w:line="240" w:lineRule="auto"/>
              <w:jc w:val="right"/>
              <w:rPr>
                <w:rFonts w:ascii="Open Sans" w:eastAsia="Times New Roman" w:hAnsi="Open Sans" w:cs="Open Sans"/>
                <w:color w:val="000000"/>
              </w:rPr>
            </w:pPr>
          </w:p>
        </w:tc>
      </w:tr>
    </w:tbl>
    <w:p w14:paraId="005075DD" w14:textId="77777777" w:rsidR="00685008" w:rsidRDefault="00685008" w:rsidP="00945E99">
      <w:pPr>
        <w:pStyle w:val="Heading1"/>
        <w:spacing w:before="0" w:line="240" w:lineRule="auto"/>
        <w:rPr>
          <w:rFonts w:ascii="Open Sans" w:hAnsi="Open Sans" w:cs="Open Sans"/>
          <w:color w:val="004848"/>
        </w:rPr>
      </w:pPr>
    </w:p>
    <w:p w14:paraId="389B51ED" w14:textId="77777777" w:rsidR="00685008" w:rsidRDefault="00685008">
      <w:pPr>
        <w:rPr>
          <w:rFonts w:ascii="Open Sans" w:eastAsiaTheme="majorEastAsia" w:hAnsi="Open Sans" w:cs="Open Sans"/>
          <w:color w:val="004848"/>
          <w:sz w:val="32"/>
          <w:szCs w:val="32"/>
        </w:rPr>
      </w:pPr>
      <w:r>
        <w:rPr>
          <w:rFonts w:ascii="Open Sans" w:hAnsi="Open Sans" w:cs="Open Sans"/>
          <w:color w:val="004848"/>
        </w:rPr>
        <w:br w:type="page"/>
      </w:r>
    </w:p>
    <w:p w14:paraId="21A3D5B5" w14:textId="29C65443" w:rsidR="00546741" w:rsidRPr="004E5997" w:rsidRDefault="00546741" w:rsidP="00945E99">
      <w:pPr>
        <w:pStyle w:val="Heading1"/>
        <w:spacing w:before="0" w:line="240" w:lineRule="auto"/>
        <w:rPr>
          <w:rFonts w:ascii="Open Sans SemiBold" w:hAnsi="Open Sans SemiBold" w:cs="Open Sans SemiBold"/>
          <w:color w:val="004848"/>
        </w:rPr>
      </w:pPr>
      <w:r w:rsidRPr="004E5997">
        <w:rPr>
          <w:rFonts w:ascii="Open Sans SemiBold" w:hAnsi="Open Sans SemiBold" w:cs="Open Sans SemiBold"/>
          <w:color w:val="004848"/>
        </w:rPr>
        <w:lastRenderedPageBreak/>
        <w:t xml:space="preserve">SR </w:t>
      </w:r>
      <w:r w:rsidR="006D6A89" w:rsidRPr="004E5997">
        <w:rPr>
          <w:rFonts w:ascii="Open Sans SemiBold" w:hAnsi="Open Sans SemiBold" w:cs="Open Sans SemiBold"/>
          <w:color w:val="004848"/>
        </w:rPr>
        <w:t>Function</w:t>
      </w:r>
      <w:r w:rsidRPr="004E5997">
        <w:rPr>
          <w:rFonts w:ascii="Open Sans SemiBold" w:hAnsi="Open Sans SemiBold" w:cs="Open Sans SemiBold"/>
          <w:color w:val="004848"/>
        </w:rPr>
        <w:t xml:space="preserve"> Confidence and Sources of Uncertainty</w:t>
      </w:r>
    </w:p>
    <w:p w14:paraId="604A54C2" w14:textId="77777777" w:rsidR="00846B17" w:rsidRPr="00786D07" w:rsidRDefault="00846B17" w:rsidP="00846B17">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90385D"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386DE9" w:rsidRDefault="0042249B" w:rsidP="00B524E1">
            <w:pPr>
              <w:jc w:val="center"/>
              <w:rPr>
                <w:rFonts w:ascii="Open Sans" w:hAnsi="Open Sans" w:cs="Open Sans"/>
                <w:b/>
                <w:bCs/>
                <w:color w:val="2F5496" w:themeColor="accent1" w:themeShade="BF"/>
                <w:sz w:val="28"/>
                <w:szCs w:val="28"/>
              </w:rPr>
            </w:pPr>
            <w:r w:rsidRPr="00386DE9">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386DE9" w:rsidRDefault="0042249B" w:rsidP="00B524E1">
            <w:pPr>
              <w:jc w:val="center"/>
              <w:rPr>
                <w:rFonts w:ascii="Open Sans" w:hAnsi="Open Sans" w:cs="Open Sans"/>
                <w:b/>
                <w:bCs/>
                <w:color w:val="2F5496" w:themeColor="accent1" w:themeShade="BF"/>
                <w:sz w:val="28"/>
                <w:szCs w:val="28"/>
              </w:rPr>
            </w:pPr>
            <w:r w:rsidRPr="00386DE9">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386DE9" w:rsidRDefault="0042249B" w:rsidP="00B524E1">
            <w:pPr>
              <w:jc w:val="center"/>
              <w:rPr>
                <w:rFonts w:ascii="Open Sans" w:hAnsi="Open Sans" w:cs="Open Sans"/>
                <w:b/>
                <w:bCs/>
                <w:color w:val="2F5496" w:themeColor="accent1" w:themeShade="BF"/>
                <w:sz w:val="28"/>
                <w:szCs w:val="28"/>
              </w:rPr>
            </w:pPr>
            <w:r w:rsidRPr="00386DE9">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90385D" w:rsidRDefault="0042249B" w:rsidP="001B11AE">
            <w:pPr>
              <w:spacing w:line="259" w:lineRule="auto"/>
              <w:rPr>
                <w:rFonts w:ascii="Open Sans" w:eastAsiaTheme="majorEastAsia" w:hAnsi="Open Sans" w:cs="Open Sans"/>
                <w:b/>
                <w:bCs/>
                <w:color w:val="2F5496" w:themeColor="accent1" w:themeShade="BF"/>
                <w:sz w:val="28"/>
                <w:szCs w:val="28"/>
              </w:rPr>
            </w:pPr>
            <w:r w:rsidRPr="0090385D">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90385D"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90385D" w:rsidRDefault="00B14FEC" w:rsidP="00B14FEC">
            <w:pPr>
              <w:jc w:val="center"/>
              <w:rPr>
                <w:rFonts w:ascii="Open Sans" w:eastAsiaTheme="minorEastAsia" w:hAnsi="Open Sans" w:cs="Open Sans"/>
                <w:kern w:val="0"/>
                <w:sz w:val="20"/>
                <w:szCs w:val="20"/>
                <w14:ligatures w14:val="none"/>
              </w:rPr>
            </w:pPr>
            <w:r w:rsidRPr="0090385D">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90385D" w:rsidRDefault="0042249B" w:rsidP="00DE1631">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90385D" w:rsidRDefault="00C64402" w:rsidP="001B11AE">
            <w:pPr>
              <w:spacing w:line="259" w:lineRule="auto"/>
              <w:rPr>
                <w:rFonts w:ascii="Open Sans" w:eastAsiaTheme="majorEastAsia" w:hAnsi="Open Sans" w:cs="Open Sans"/>
                <w:color w:val="2F5496" w:themeColor="accent1" w:themeShade="BF"/>
              </w:rPr>
            </w:pPr>
            <w:r w:rsidRPr="0090385D">
              <w:rPr>
                <w:rFonts w:ascii="Open Sans" w:eastAsiaTheme="majorEastAsia" w:hAnsi="Open Sans" w:cs="Open Sans"/>
                <w:color w:val="2F5496" w:themeColor="accent1" w:themeShade="BF"/>
              </w:rPr>
              <w:t>Rationale --&gt;</w:t>
            </w:r>
          </w:p>
        </w:tc>
        <w:tc>
          <w:tcPr>
            <w:tcW w:w="6930" w:type="dxa"/>
            <w:gridSpan w:val="3"/>
          </w:tcPr>
          <w:p w14:paraId="6C3EA652" w14:textId="74049F2B" w:rsidR="00C64402" w:rsidRPr="0090385D" w:rsidRDefault="0080371A" w:rsidP="001A1DEF">
            <w:pPr>
              <w:rPr>
                <w:rFonts w:ascii="Open Sans" w:hAnsi="Open Sans" w:cs="Open Sans"/>
                <w:sz w:val="20"/>
                <w:szCs w:val="20"/>
              </w:rPr>
            </w:pPr>
            <w:r w:rsidRPr="0090385D">
              <w:rPr>
                <w:rFonts w:ascii="Open Sans" w:hAnsi="Open Sans" w:cs="Open Sans"/>
                <w:sz w:val="20"/>
                <w:szCs w:val="20"/>
              </w:rPr>
              <w:t xml:space="preserve">Data for this curve was developed from a broad landscape correlation between phosphorus and </w:t>
            </w:r>
            <w:r w:rsidR="00C92081" w:rsidRPr="0090385D">
              <w:rPr>
                <w:rFonts w:ascii="Open Sans" w:hAnsi="Open Sans" w:cs="Open Sans"/>
                <w:sz w:val="20"/>
                <w:szCs w:val="20"/>
              </w:rPr>
              <w:t xml:space="preserve">watershed-wide </w:t>
            </w:r>
            <w:r w:rsidR="00106929" w:rsidRPr="0090385D">
              <w:rPr>
                <w:rFonts w:ascii="Open Sans" w:hAnsi="Open Sans" w:cs="Open Sans"/>
                <w:sz w:val="20"/>
                <w:szCs w:val="20"/>
              </w:rPr>
              <w:t>trout</w:t>
            </w:r>
            <w:r w:rsidR="00C92081" w:rsidRPr="0090385D">
              <w:rPr>
                <w:rFonts w:ascii="Open Sans" w:hAnsi="Open Sans" w:cs="Open Sans"/>
                <w:sz w:val="20"/>
                <w:szCs w:val="20"/>
              </w:rPr>
              <w:t xml:space="preserve"> abundance</w:t>
            </w:r>
            <w:r w:rsidR="00106929" w:rsidRPr="0090385D">
              <w:rPr>
                <w:rFonts w:ascii="Open Sans" w:hAnsi="Open Sans" w:cs="Open Sans"/>
                <w:sz w:val="20"/>
                <w:szCs w:val="20"/>
              </w:rPr>
              <w:t xml:space="preserve">. </w:t>
            </w:r>
            <w:r w:rsidR="00021C72" w:rsidRPr="0090385D">
              <w:rPr>
                <w:rFonts w:ascii="Open Sans" w:hAnsi="Open Sans" w:cs="Open Sans"/>
                <w:sz w:val="20"/>
                <w:szCs w:val="20"/>
              </w:rPr>
              <w:t xml:space="preserve">While based on a quantitative correlation, the function lacks specificity </w:t>
            </w:r>
            <w:r w:rsidR="00E422DB" w:rsidRPr="0090385D">
              <w:rPr>
                <w:rFonts w:ascii="Open Sans" w:hAnsi="Open Sans" w:cs="Open Sans"/>
                <w:sz w:val="20"/>
                <w:szCs w:val="20"/>
              </w:rPr>
              <w:t xml:space="preserve">(to species or point source location) </w:t>
            </w:r>
            <w:r w:rsidR="00021C72" w:rsidRPr="0090385D">
              <w:rPr>
                <w:rFonts w:ascii="Open Sans" w:hAnsi="Open Sans" w:cs="Open Sans"/>
                <w:sz w:val="20"/>
                <w:szCs w:val="20"/>
              </w:rPr>
              <w:t xml:space="preserve">or </w:t>
            </w:r>
            <w:r w:rsidR="00E422DB" w:rsidRPr="0090385D">
              <w:rPr>
                <w:rFonts w:ascii="Open Sans" w:hAnsi="Open Sans" w:cs="Open Sans"/>
                <w:sz w:val="20"/>
                <w:szCs w:val="20"/>
              </w:rPr>
              <w:t xml:space="preserve">empirical testing. </w:t>
            </w:r>
          </w:p>
        </w:tc>
      </w:tr>
      <w:tr w:rsidR="0042249B" w:rsidRPr="00B4154F" w14:paraId="650D0AA6" w14:textId="77777777" w:rsidTr="00831C16">
        <w:trPr>
          <w:trHeight w:val="300"/>
        </w:trPr>
        <w:tc>
          <w:tcPr>
            <w:tcW w:w="2790" w:type="dxa"/>
          </w:tcPr>
          <w:p w14:paraId="4C4FD916" w14:textId="77777777" w:rsidR="0042249B" w:rsidRPr="0090385D" w:rsidRDefault="0042249B" w:rsidP="001B11AE">
            <w:pPr>
              <w:rPr>
                <w:rFonts w:ascii="Open Sans" w:eastAsiaTheme="majorEastAsia" w:hAnsi="Open Sans" w:cs="Open Sans"/>
                <w:b/>
                <w:bCs/>
                <w:color w:val="2F5496" w:themeColor="accent1" w:themeShade="BF"/>
                <w:kern w:val="0"/>
                <w:sz w:val="28"/>
                <w:szCs w:val="28"/>
                <w14:ligatures w14:val="none"/>
              </w:rPr>
            </w:pPr>
            <w:r w:rsidRPr="0090385D">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90385D"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90385D" w:rsidRDefault="009150DA" w:rsidP="009150DA">
            <w:pPr>
              <w:spacing w:line="259" w:lineRule="auto"/>
              <w:jc w:val="center"/>
              <w:rPr>
                <w:rFonts w:ascii="Open Sans" w:eastAsiaTheme="minorEastAsia" w:hAnsi="Open Sans" w:cs="Open Sans"/>
                <w:sz w:val="20"/>
                <w:szCs w:val="20"/>
              </w:rPr>
            </w:pPr>
            <w:r w:rsidRPr="0090385D">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90385D" w:rsidRDefault="0042249B" w:rsidP="001B11AE">
            <w:pP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90385D" w:rsidRDefault="00C64402" w:rsidP="001B11AE">
            <w:pPr>
              <w:rPr>
                <w:rFonts w:ascii="Open Sans" w:eastAsiaTheme="majorEastAsia" w:hAnsi="Open Sans" w:cs="Open Sans"/>
                <w:color w:val="2F5496" w:themeColor="accent1" w:themeShade="BF"/>
              </w:rPr>
            </w:pPr>
            <w:r w:rsidRPr="0090385D">
              <w:rPr>
                <w:rFonts w:ascii="Open Sans" w:eastAsiaTheme="majorEastAsia" w:hAnsi="Open Sans" w:cs="Open Sans"/>
                <w:color w:val="2F5496" w:themeColor="accent1" w:themeShade="BF"/>
              </w:rPr>
              <w:t xml:space="preserve"> Rationale --&gt;</w:t>
            </w:r>
          </w:p>
        </w:tc>
        <w:tc>
          <w:tcPr>
            <w:tcW w:w="6930" w:type="dxa"/>
            <w:gridSpan w:val="3"/>
          </w:tcPr>
          <w:p w14:paraId="0334D8C0" w14:textId="67E16392" w:rsidR="00C64402" w:rsidRPr="0090385D" w:rsidRDefault="00EC232C" w:rsidP="001B11AE">
            <w:pPr>
              <w:rPr>
                <w:rFonts w:ascii="Open Sans" w:hAnsi="Open Sans" w:cs="Open Sans"/>
                <w:sz w:val="20"/>
                <w:szCs w:val="20"/>
              </w:rPr>
            </w:pPr>
            <w:r w:rsidRPr="0090385D">
              <w:rPr>
                <w:rFonts w:ascii="Open Sans" w:hAnsi="Open Sans" w:cs="Open Sans"/>
                <w:sz w:val="20"/>
                <w:szCs w:val="20"/>
              </w:rPr>
              <w:t xml:space="preserve">The function is </w:t>
            </w:r>
            <w:r w:rsidR="00E83236" w:rsidRPr="0090385D">
              <w:rPr>
                <w:rFonts w:ascii="Open Sans" w:hAnsi="Open Sans" w:cs="Open Sans"/>
                <w:sz w:val="20"/>
                <w:szCs w:val="20"/>
              </w:rPr>
              <w:t xml:space="preserve">assumed to be negative, but the shape of the decline is based on broad categorizations of fish abundance. </w:t>
            </w:r>
          </w:p>
        </w:tc>
      </w:tr>
      <w:tr w:rsidR="0042249B" w:rsidRPr="00B4154F" w14:paraId="676B3FBF" w14:textId="77777777" w:rsidTr="00831C16">
        <w:trPr>
          <w:trHeight w:val="300"/>
        </w:trPr>
        <w:tc>
          <w:tcPr>
            <w:tcW w:w="2790" w:type="dxa"/>
          </w:tcPr>
          <w:p w14:paraId="4FFE1C29" w14:textId="77777777" w:rsidR="0042249B" w:rsidRPr="0090385D" w:rsidRDefault="0042249B" w:rsidP="001B11AE">
            <w:pPr>
              <w:rPr>
                <w:rFonts w:ascii="Open Sans" w:eastAsiaTheme="majorEastAsia" w:hAnsi="Open Sans" w:cs="Open Sans"/>
                <w:b/>
                <w:bCs/>
                <w:color w:val="2F5496" w:themeColor="accent1" w:themeShade="BF"/>
                <w:kern w:val="0"/>
                <w:sz w:val="28"/>
                <w:szCs w:val="28"/>
                <w14:ligatures w14:val="none"/>
              </w:rPr>
            </w:pPr>
            <w:r w:rsidRPr="0090385D">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90385D" w:rsidRDefault="0042249B" w:rsidP="001B11AE">
            <w:pPr>
              <w:spacing w:line="259" w:lineRule="auto"/>
              <w:rPr>
                <w:rFonts w:ascii="Open Sans" w:eastAsiaTheme="majorEastAsia" w:hAnsi="Open Sans" w:cs="Open Sans"/>
                <w:b/>
                <w:bCs/>
                <w:color w:val="2F5496" w:themeColor="accent1" w:themeShade="BF"/>
                <w:sz w:val="28"/>
                <w:szCs w:val="28"/>
              </w:rPr>
            </w:pPr>
            <w:r w:rsidRPr="0090385D">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FD861C2" w:rsidR="0042249B" w:rsidRPr="0090385D" w:rsidRDefault="00520662" w:rsidP="00520662">
            <w:pPr>
              <w:spacing w:line="259" w:lineRule="auto"/>
              <w:jc w:val="center"/>
              <w:rPr>
                <w:rFonts w:ascii="Open Sans" w:eastAsiaTheme="minorEastAsia" w:hAnsi="Open Sans" w:cs="Open Sans"/>
                <w:kern w:val="0"/>
                <w:sz w:val="20"/>
                <w:szCs w:val="20"/>
                <w14:ligatures w14:val="none"/>
              </w:rPr>
            </w:pPr>
            <w:r w:rsidRPr="0090385D">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0B2B3C20" w:rsidR="0042249B" w:rsidRPr="0090385D" w:rsidRDefault="0042249B" w:rsidP="00C6221A">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90385D" w:rsidRDefault="0042249B" w:rsidP="00324260">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90385D" w:rsidRDefault="00C64402" w:rsidP="001B11AE">
            <w:pPr>
              <w:rPr>
                <w:rFonts w:ascii="Open Sans" w:eastAsiaTheme="majorEastAsia" w:hAnsi="Open Sans" w:cs="Open Sans"/>
                <w:color w:val="2F5496" w:themeColor="accent1" w:themeShade="BF"/>
              </w:rPr>
            </w:pPr>
            <w:r w:rsidRPr="0090385D">
              <w:rPr>
                <w:rFonts w:ascii="Open Sans" w:eastAsiaTheme="majorEastAsia" w:hAnsi="Open Sans" w:cs="Open Sans"/>
                <w:color w:val="2F5496" w:themeColor="accent1" w:themeShade="BF"/>
              </w:rPr>
              <w:t xml:space="preserve"> Rationale --&gt;</w:t>
            </w:r>
          </w:p>
        </w:tc>
        <w:tc>
          <w:tcPr>
            <w:tcW w:w="6930" w:type="dxa"/>
            <w:gridSpan w:val="3"/>
          </w:tcPr>
          <w:p w14:paraId="07BC163B" w14:textId="1AFC9EE8" w:rsidR="00C64402" w:rsidRPr="0090385D" w:rsidRDefault="008B3E9F" w:rsidP="001B11AE">
            <w:pPr>
              <w:rPr>
                <w:rFonts w:ascii="Open Sans" w:hAnsi="Open Sans" w:cs="Open Sans"/>
                <w:sz w:val="20"/>
                <w:szCs w:val="20"/>
              </w:rPr>
            </w:pPr>
            <w:r w:rsidRPr="0090385D">
              <w:rPr>
                <w:rFonts w:ascii="Open Sans" w:hAnsi="Open Sans" w:cs="Open Sans"/>
                <w:sz w:val="20"/>
                <w:szCs w:val="20"/>
              </w:rPr>
              <w:t xml:space="preserve">The </w:t>
            </w:r>
            <w:r w:rsidR="005D0BC4" w:rsidRPr="0090385D">
              <w:rPr>
                <w:rFonts w:ascii="Open Sans" w:hAnsi="Open Sans" w:cs="Open Sans"/>
                <w:sz w:val="20"/>
                <w:szCs w:val="20"/>
              </w:rPr>
              <w:t xml:space="preserve">slope of the regression model </w:t>
            </w:r>
            <w:r w:rsidR="00520662" w:rsidRPr="0090385D">
              <w:rPr>
                <w:rFonts w:ascii="Open Sans" w:hAnsi="Open Sans" w:cs="Open Sans"/>
                <w:sz w:val="20"/>
                <w:szCs w:val="20"/>
              </w:rPr>
              <w:t>had large confidence intervals. The data did not span the full range of system capacities (</w:t>
            </w:r>
            <w:r w:rsidR="00290A9A" w:rsidRPr="0090385D">
              <w:rPr>
                <w:rFonts w:ascii="Open Sans" w:hAnsi="Open Sans" w:cs="Open Sans"/>
                <w:sz w:val="20"/>
                <w:szCs w:val="20"/>
              </w:rPr>
              <w:t xml:space="preserve">no FSA 5 watersheds). </w:t>
            </w:r>
          </w:p>
        </w:tc>
      </w:tr>
      <w:tr w:rsidR="0042249B" w:rsidRPr="00B4154F" w14:paraId="64ECFA8D" w14:textId="77777777" w:rsidTr="00831C16">
        <w:trPr>
          <w:trHeight w:val="300"/>
        </w:trPr>
        <w:tc>
          <w:tcPr>
            <w:tcW w:w="2790" w:type="dxa"/>
          </w:tcPr>
          <w:p w14:paraId="7DAC4157" w14:textId="77777777" w:rsidR="0042249B" w:rsidRPr="0090385D" w:rsidRDefault="0042249B" w:rsidP="001B11AE">
            <w:pPr>
              <w:rPr>
                <w:rFonts w:ascii="Open Sans" w:eastAsiaTheme="majorEastAsia" w:hAnsi="Open Sans" w:cs="Open Sans"/>
                <w:b/>
                <w:bCs/>
                <w:color w:val="2F5496" w:themeColor="accent1" w:themeShade="BF"/>
                <w:kern w:val="0"/>
                <w:sz w:val="28"/>
                <w:szCs w:val="28"/>
                <w14:ligatures w14:val="none"/>
              </w:rPr>
            </w:pPr>
            <w:r w:rsidRPr="0090385D">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90385D"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90385D"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90385D" w:rsidRDefault="00CD1F35" w:rsidP="00CD1F35">
            <w:pPr>
              <w:spacing w:line="259" w:lineRule="auto"/>
              <w:jc w:val="center"/>
              <w:rPr>
                <w:rFonts w:ascii="Open Sans" w:eastAsiaTheme="minorEastAsia" w:hAnsi="Open Sans" w:cs="Open Sans"/>
                <w:sz w:val="20"/>
                <w:szCs w:val="20"/>
              </w:rPr>
            </w:pPr>
            <w:r w:rsidRPr="0090385D">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90385D" w:rsidRDefault="00C64402" w:rsidP="001B11AE">
            <w:pPr>
              <w:rPr>
                <w:rFonts w:ascii="Open Sans" w:eastAsiaTheme="majorEastAsia" w:hAnsi="Open Sans" w:cs="Open Sans"/>
                <w:color w:val="2F5496" w:themeColor="accent1" w:themeShade="BF"/>
              </w:rPr>
            </w:pPr>
            <w:r w:rsidRPr="0090385D">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51D6647D" w:rsidR="00C64402" w:rsidRPr="0090385D" w:rsidRDefault="00290A9A" w:rsidP="001B11AE">
            <w:pPr>
              <w:rPr>
                <w:rFonts w:ascii="Open Sans" w:hAnsi="Open Sans" w:cs="Open Sans"/>
                <w:sz w:val="20"/>
                <w:szCs w:val="20"/>
              </w:rPr>
            </w:pPr>
            <w:r w:rsidRPr="0090385D">
              <w:rPr>
                <w:rFonts w:ascii="Open Sans" w:hAnsi="Open Sans" w:cs="Open Sans"/>
                <w:sz w:val="20"/>
                <w:szCs w:val="20"/>
              </w:rPr>
              <w:t xml:space="preserve">The function was built for the three species, </w:t>
            </w:r>
            <w:r w:rsidR="005E51AC" w:rsidRPr="0090385D">
              <w:rPr>
                <w:rFonts w:ascii="Open Sans" w:hAnsi="Open Sans" w:cs="Open Sans"/>
                <w:sz w:val="20"/>
                <w:szCs w:val="20"/>
              </w:rPr>
              <w:t xml:space="preserve">which are anticipated to respond similarly to phosphorus loading. As the data was based directly on </w:t>
            </w:r>
            <w:r w:rsidR="00E4625D" w:rsidRPr="0090385D">
              <w:rPr>
                <w:rFonts w:ascii="Open Sans" w:hAnsi="Open Sans" w:cs="Open Sans"/>
                <w:sz w:val="20"/>
                <w:szCs w:val="20"/>
              </w:rPr>
              <w:t xml:space="preserve">field measurements of fish abundance and </w:t>
            </w:r>
            <w:r w:rsidR="00FF1291" w:rsidRPr="0090385D">
              <w:rPr>
                <w:rFonts w:ascii="Open Sans" w:hAnsi="Open Sans" w:cs="Open Sans"/>
                <w:sz w:val="20"/>
                <w:szCs w:val="20"/>
              </w:rPr>
              <w:t>local</w:t>
            </w:r>
            <w:r w:rsidR="00E4625D" w:rsidRPr="0090385D">
              <w:rPr>
                <w:rFonts w:ascii="Open Sans" w:hAnsi="Open Sans" w:cs="Open Sans"/>
                <w:sz w:val="20"/>
                <w:szCs w:val="20"/>
              </w:rPr>
              <w:t xml:space="preserve"> phosphorus models</w:t>
            </w:r>
            <w:r w:rsidR="00FF1291" w:rsidRPr="0090385D">
              <w:rPr>
                <w:rFonts w:ascii="Open Sans" w:hAnsi="Open Sans" w:cs="Open Sans"/>
                <w:sz w:val="20"/>
                <w:szCs w:val="20"/>
              </w:rPr>
              <w:t xml:space="preserve">, it likely has high applicability in the system it was developed for. </w:t>
            </w:r>
            <w:r w:rsidR="008874F0" w:rsidRPr="0090385D">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90385D" w:rsidRDefault="0042249B" w:rsidP="001B11AE">
            <w:pPr>
              <w:rPr>
                <w:rFonts w:ascii="Open Sans" w:eastAsiaTheme="majorEastAsia" w:hAnsi="Open Sans" w:cs="Open Sans"/>
                <w:b/>
                <w:bCs/>
                <w:color w:val="2F5496" w:themeColor="accent1" w:themeShade="BF"/>
                <w:kern w:val="0"/>
                <w:sz w:val="28"/>
                <w:szCs w:val="28"/>
                <w14:ligatures w14:val="none"/>
              </w:rPr>
            </w:pPr>
            <w:r w:rsidRPr="0090385D">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90385D" w:rsidRDefault="008F5CD0" w:rsidP="00C96871">
            <w:pPr>
              <w:spacing w:line="259" w:lineRule="auto"/>
              <w:jc w:val="center"/>
              <w:rPr>
                <w:rFonts w:ascii="Open Sans" w:eastAsiaTheme="minorEastAsia" w:hAnsi="Open Sans" w:cs="Open Sans"/>
                <w:sz w:val="20"/>
                <w:szCs w:val="20"/>
              </w:rPr>
            </w:pPr>
            <w:r w:rsidRPr="0090385D">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90385D" w:rsidRDefault="0042249B" w:rsidP="00BB76B9">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90385D" w:rsidRDefault="0042249B" w:rsidP="001B11AE">
            <w:pP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90385D" w:rsidRDefault="00C64402" w:rsidP="001B11AE">
            <w:pPr>
              <w:rPr>
                <w:rFonts w:ascii="Open Sans" w:eastAsiaTheme="majorEastAsia" w:hAnsi="Open Sans" w:cs="Open Sans"/>
                <w:color w:val="2F5496" w:themeColor="accent1" w:themeShade="BF"/>
              </w:rPr>
            </w:pPr>
            <w:r w:rsidRPr="0090385D">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7536F47" w:rsidR="00C64402" w:rsidRPr="0090385D" w:rsidRDefault="009432D2" w:rsidP="001B11AE">
            <w:pPr>
              <w:rPr>
                <w:rFonts w:ascii="Open Sans" w:hAnsi="Open Sans" w:cs="Open Sans"/>
                <w:sz w:val="20"/>
                <w:szCs w:val="20"/>
              </w:rPr>
            </w:pPr>
            <w:r w:rsidRPr="0090385D">
              <w:rPr>
                <w:rFonts w:ascii="Open Sans" w:hAnsi="Open Sans" w:cs="Open Sans"/>
                <w:sz w:val="20"/>
                <w:szCs w:val="20"/>
              </w:rPr>
              <w:t xml:space="preserve">There is </w:t>
            </w:r>
            <w:r w:rsidR="008F5CD0" w:rsidRPr="0090385D">
              <w:rPr>
                <w:rFonts w:ascii="Open Sans" w:hAnsi="Open Sans" w:cs="Open Sans"/>
                <w:sz w:val="20"/>
                <w:szCs w:val="20"/>
              </w:rPr>
              <w:t xml:space="preserve">significant </w:t>
            </w:r>
            <w:r w:rsidRPr="0090385D">
              <w:rPr>
                <w:rFonts w:ascii="Open Sans" w:hAnsi="Open Sans" w:cs="Open Sans"/>
                <w:sz w:val="20"/>
                <w:szCs w:val="20"/>
              </w:rPr>
              <w:t>potential for stressor interaction</w:t>
            </w:r>
            <w:r w:rsidR="008F5CD0" w:rsidRPr="0090385D">
              <w:rPr>
                <w:rFonts w:ascii="Open Sans" w:hAnsi="Open Sans" w:cs="Open Sans"/>
                <w:sz w:val="20"/>
                <w:szCs w:val="20"/>
              </w:rPr>
              <w:t xml:space="preserve">s because this function was developed from landscape correlation. </w:t>
            </w:r>
            <w:r w:rsidR="00161008" w:rsidRPr="0090385D">
              <w:rPr>
                <w:rFonts w:ascii="Open Sans" w:hAnsi="Open Sans" w:cs="Open Sans"/>
                <w:sz w:val="20"/>
                <w:szCs w:val="20"/>
              </w:rPr>
              <w:t xml:space="preserve">Numerous possible stressors could co-vary with phosphorus loading and have the same observed effect on fish population status. </w:t>
            </w:r>
            <w:r w:rsidR="00FD0846" w:rsidRPr="0090385D">
              <w:rPr>
                <w:rFonts w:ascii="Open Sans" w:hAnsi="Open Sans" w:cs="Open Sans"/>
                <w:sz w:val="20"/>
                <w:szCs w:val="20"/>
              </w:rPr>
              <w:t>Note: There was strong correlation (Pearson R = 0.62, 95% confidence interval 0.45 – 0.74) between sediment and phosphorus, so these two functions were treated with a limiting factor approach, rather than multiplicatively.</w:t>
            </w:r>
          </w:p>
        </w:tc>
      </w:tr>
    </w:tbl>
    <w:p w14:paraId="497B8F7C" w14:textId="6CA4CF70" w:rsidR="00A827DA" w:rsidRDefault="00A827DA">
      <w:pPr>
        <w:rPr>
          <w:rFonts w:ascii="Open Sans" w:eastAsiaTheme="majorEastAsia" w:hAnsi="Open Sans" w:cs="Open Sans"/>
          <w:color w:val="004848"/>
          <w:sz w:val="32"/>
          <w:szCs w:val="32"/>
        </w:rPr>
      </w:pPr>
    </w:p>
    <w:p w14:paraId="10A82198" w14:textId="115D75C4" w:rsidR="00C5276A" w:rsidRPr="004E5997" w:rsidRDefault="00C5276A" w:rsidP="005B48F0">
      <w:pPr>
        <w:pStyle w:val="Heading1"/>
        <w:spacing w:before="0" w:line="240" w:lineRule="auto"/>
        <w:rPr>
          <w:rFonts w:ascii="Open Sans SemiBold" w:hAnsi="Open Sans SemiBold" w:cs="Open Sans SemiBold"/>
          <w:color w:val="004848"/>
        </w:rPr>
      </w:pPr>
      <w:r w:rsidRPr="004E5997">
        <w:rPr>
          <w:rFonts w:ascii="Open Sans SemiBold" w:hAnsi="Open Sans SemiBold" w:cs="Open Sans SemiBold"/>
          <w:color w:val="004848"/>
        </w:rPr>
        <w:lastRenderedPageBreak/>
        <w:t>Recommended Citation</w:t>
      </w:r>
    </w:p>
    <w:p w14:paraId="1D1D7201" w14:textId="5BBFC804" w:rsidR="00C5276A" w:rsidRPr="00C01424" w:rsidRDefault="00C5276A" w:rsidP="00C5276A">
      <w:pPr>
        <w:rPr>
          <w:rFonts w:ascii="Open Sans" w:hAnsi="Open Sans" w:cs="Open Sans"/>
        </w:rPr>
      </w:pPr>
      <w:r w:rsidRPr="00C01424">
        <w:rPr>
          <w:rFonts w:ascii="Open Sans" w:hAnsi="Open Sans" w:cs="Open Sans"/>
        </w:rPr>
        <w:t>This document should be cited as:</w:t>
      </w:r>
    </w:p>
    <w:p w14:paraId="2394595C" w14:textId="393F3017" w:rsidR="006D371A" w:rsidRPr="001624F8" w:rsidRDefault="006D371A" w:rsidP="006D371A">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C01424">
        <w:rPr>
          <w:rFonts w:ascii="Open Sans" w:hAnsi="Open Sans" w:cs="Open Sans"/>
        </w:rPr>
        <w:t>Phosphorus loading stressor-response function for Athabasca Rainbow Trout, Westslope Cutthroat Trout, and Bull Trout.</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2D4D2391" w:rsidR="00EE401F" w:rsidRPr="00F021B4" w:rsidRDefault="00EE401F" w:rsidP="00EE401F">
      <w:pPr>
        <w:rPr>
          <w:rFonts w:ascii="Segoe UI" w:hAnsi="Segoe UI" w:cs="Segoe UI"/>
          <w:b/>
          <w:bCs/>
          <w:color w:val="2F5496" w:themeColor="accent1" w:themeShade="BF"/>
        </w:rPr>
      </w:pPr>
      <w:r w:rsidRPr="00F021B4">
        <w:rPr>
          <w:rFonts w:ascii="Segoe UI" w:hAnsi="Segoe UI" w:cs="Segoe UI"/>
          <w:b/>
          <w:bCs/>
          <w:color w:val="2F5496" w:themeColor="accent1" w:themeShade="BF"/>
          <w:sz w:val="24"/>
          <w:szCs w:val="24"/>
        </w:rPr>
        <w:t>_______________________</w:t>
      </w:r>
      <w:r w:rsidR="00F021B4">
        <w:rPr>
          <w:rFonts w:ascii="Segoe UI" w:hAnsi="Segoe UI" w:cs="Segoe UI"/>
          <w:b/>
          <w:bCs/>
          <w:color w:val="2F5496" w:themeColor="accent1" w:themeShade="BF"/>
          <w:sz w:val="24"/>
          <w:szCs w:val="24"/>
        </w:rPr>
        <w:t>_______________</w:t>
      </w:r>
      <w:r w:rsidRPr="00F021B4">
        <w:rPr>
          <w:rFonts w:ascii="Segoe UI" w:hAnsi="Segoe UI" w:cs="Segoe UI"/>
          <w:b/>
          <w:bCs/>
          <w:color w:val="2F5496" w:themeColor="accent1" w:themeShade="BF"/>
          <w:sz w:val="24"/>
          <w:szCs w:val="24"/>
        </w:rPr>
        <w:t>_______________________________________________________</w:t>
      </w:r>
    </w:p>
    <w:p w14:paraId="1C80D178" w14:textId="77777777" w:rsidR="00283331" w:rsidRPr="004E5997" w:rsidRDefault="00283331" w:rsidP="005B48F0">
      <w:pPr>
        <w:pStyle w:val="Heading1"/>
        <w:spacing w:before="0" w:line="240" w:lineRule="auto"/>
        <w:rPr>
          <w:rFonts w:ascii="Open Sans SemiBold" w:hAnsi="Open Sans SemiBold" w:cs="Open Sans SemiBold"/>
          <w:color w:val="004848"/>
        </w:rPr>
      </w:pPr>
      <w:r w:rsidRPr="004E5997">
        <w:rPr>
          <w:rFonts w:ascii="Open Sans SemiBold" w:hAnsi="Open Sans SemiBold" w:cs="Open Sans SemiBold"/>
          <w:color w:val="004848"/>
        </w:rPr>
        <w:t xml:space="preserve">References </w:t>
      </w:r>
    </w:p>
    <w:p w14:paraId="078FDB13" w14:textId="77777777" w:rsidR="00032678" w:rsidRDefault="00032678" w:rsidP="004B586D">
      <w:pPr>
        <w:ind w:left="720" w:hanging="720"/>
        <w:rPr>
          <w:rFonts w:asciiTheme="majorHAnsi" w:hAnsiTheme="majorHAnsi" w:cstheme="majorHAnsi"/>
          <w:sz w:val="24"/>
          <w:szCs w:val="24"/>
        </w:rPr>
      </w:pPr>
    </w:p>
    <w:p w14:paraId="1858D4D9" w14:textId="77777777" w:rsidR="00A64CC8" w:rsidRPr="00C01424" w:rsidRDefault="00A64CC8" w:rsidP="00A64CC8">
      <w:pPr>
        <w:ind w:left="720" w:hanging="720"/>
        <w:rPr>
          <w:rFonts w:ascii="Open Sans" w:hAnsi="Open Sans" w:cs="Open Sans"/>
        </w:rPr>
      </w:pPr>
      <w:r w:rsidRPr="00C01424">
        <w:rPr>
          <w:rFonts w:ascii="Open Sans" w:hAnsi="Open Sans" w:cs="Open Sans"/>
        </w:rPr>
        <w:t xml:space="preserve">Alberta Environment and Parks (AEP). 2013. Bull Trout Fish Sustainability Index. Alberta Fish and Wildlife Policy Branch, Edmonton, Alberta. https://www.alberta.ca/bull-trout-fsi. </w:t>
      </w:r>
    </w:p>
    <w:p w14:paraId="24FD44CE" w14:textId="6A29E4BE" w:rsidR="005169D1" w:rsidRPr="00C01424" w:rsidRDefault="005169D1" w:rsidP="00A64CC8">
      <w:pPr>
        <w:ind w:left="720" w:hanging="720"/>
        <w:rPr>
          <w:rFonts w:ascii="Open Sans" w:hAnsi="Open Sans" w:cs="Open Sans"/>
        </w:rPr>
      </w:pPr>
      <w:r w:rsidRPr="00C01424">
        <w:rPr>
          <w:rFonts w:ascii="Open Sans" w:hAnsi="Open Sans" w:cs="Open Sans"/>
        </w:rPr>
        <w:t>ALCES 2012. Upper Bow River Basin Cumulative Effects Study</w:t>
      </w:r>
      <w:r w:rsidR="00010BC2" w:rsidRPr="00C01424">
        <w:rPr>
          <w:rFonts w:ascii="Open Sans" w:hAnsi="Open Sans" w:cs="Open Sans"/>
        </w:rPr>
        <w:t xml:space="preserve">. </w:t>
      </w:r>
      <w:r w:rsidR="00654224" w:rsidRPr="00C01424">
        <w:rPr>
          <w:rFonts w:ascii="Open Sans" w:hAnsi="Open Sans" w:cs="Open Sans"/>
        </w:rPr>
        <w:t xml:space="preserve">Report </w:t>
      </w:r>
      <w:proofErr w:type="gramStart"/>
      <w:r w:rsidR="00654224" w:rsidRPr="00C01424">
        <w:rPr>
          <w:rFonts w:ascii="Open Sans" w:hAnsi="Open Sans" w:cs="Open Sans"/>
        </w:rPr>
        <w:t>for</w:t>
      </w:r>
      <w:proofErr w:type="gramEnd"/>
      <w:r w:rsidR="00654224" w:rsidRPr="00C01424">
        <w:rPr>
          <w:rFonts w:ascii="Open Sans" w:hAnsi="Open Sans" w:cs="Open Sans"/>
        </w:rPr>
        <w:t xml:space="preserve"> Action for Agriculture</w:t>
      </w:r>
      <w:r w:rsidR="00C5791D" w:rsidRPr="00C01424">
        <w:rPr>
          <w:rFonts w:ascii="Open Sans" w:hAnsi="Open Sans" w:cs="Open Sans"/>
        </w:rPr>
        <w:t>, Alberta. 100 pp.</w:t>
      </w:r>
    </w:p>
    <w:p w14:paraId="53850638" w14:textId="331F673B" w:rsidR="00D2377A" w:rsidRPr="00C01424" w:rsidRDefault="00D2377A" w:rsidP="00D2377A">
      <w:pPr>
        <w:ind w:left="720" w:hanging="720"/>
        <w:rPr>
          <w:rFonts w:ascii="Open Sans" w:hAnsi="Open Sans" w:cs="Open Sans"/>
        </w:rPr>
      </w:pPr>
      <w:r w:rsidRPr="00C01424">
        <w:rPr>
          <w:rFonts w:ascii="Open Sans" w:hAnsi="Open Sans" w:cs="Open Sans"/>
        </w:rPr>
        <w:t xml:space="preserve">Cade, </w:t>
      </w:r>
      <w:proofErr w:type="gramStart"/>
      <w:r w:rsidRPr="00C01424">
        <w:rPr>
          <w:rFonts w:ascii="Open Sans" w:hAnsi="Open Sans" w:cs="Open Sans"/>
        </w:rPr>
        <w:t>B.S.</w:t>
      </w:r>
      <w:proofErr w:type="gramEnd"/>
      <w:r w:rsidRPr="00C01424">
        <w:rPr>
          <w:rFonts w:ascii="Open Sans" w:hAnsi="Open Sans" w:cs="Open Sans"/>
        </w:rPr>
        <w:t xml:space="preserve"> and B.R. Noon. 2003. A gentle introduction to quantile regression for ecologists. Frontiers in Ecology and the Environment 1: 412–420.</w:t>
      </w:r>
    </w:p>
    <w:p w14:paraId="60187E8D" w14:textId="77777777" w:rsidR="001A389E" w:rsidRPr="00C01424" w:rsidRDefault="001A389E" w:rsidP="001A389E">
      <w:pPr>
        <w:ind w:left="720" w:hanging="720"/>
        <w:rPr>
          <w:rFonts w:ascii="Open Sans" w:hAnsi="Open Sans" w:cs="Open Sans"/>
        </w:rPr>
      </w:pPr>
      <w:r w:rsidRPr="00C01424">
        <w:rPr>
          <w:rFonts w:ascii="Open Sans" w:hAnsi="Open Sans" w:cs="Open Sans"/>
        </w:rPr>
        <w:t>Chung, C. 2013. Diel oxygen cycles in the Bow River: Relationships to Calgary's urban nutrient footprint and periphyton and macrophyte biomass. MSc Thesis, University of Calgary, AB. 92 pp.</w:t>
      </w:r>
    </w:p>
    <w:p w14:paraId="5BFCA6B2" w14:textId="499CC400" w:rsidR="00250D1B" w:rsidRPr="00C01424" w:rsidRDefault="00250D1B" w:rsidP="001A389E">
      <w:pPr>
        <w:ind w:left="720" w:hanging="720"/>
        <w:rPr>
          <w:rFonts w:ascii="Open Sans" w:hAnsi="Open Sans" w:cs="Open Sans"/>
        </w:rPr>
      </w:pPr>
      <w:r w:rsidRPr="00C01424">
        <w:rPr>
          <w:rFonts w:ascii="Open Sans" w:hAnsi="Open Sans" w:cs="Open Sans"/>
        </w:rPr>
        <w:t>Donahue, W.F. 2013. Determining Appropriate Nutrient and Sediment Loading Coefficients for Modelling Effects of Changes in Landuse and Landcover in Alberta Watersheds. Water Matters Society of Alberta, Canmore, AB. 52pp.</w:t>
      </w:r>
    </w:p>
    <w:p w14:paraId="5B3AE891" w14:textId="1219A23E" w:rsidR="00EE540B" w:rsidRPr="00C01424" w:rsidRDefault="00BD4134" w:rsidP="00D2377A">
      <w:pPr>
        <w:ind w:left="720" w:hanging="720"/>
        <w:rPr>
          <w:rFonts w:ascii="Open Sans" w:hAnsi="Open Sans" w:cs="Open Sans"/>
        </w:rPr>
      </w:pPr>
      <w:r w:rsidRPr="00C01424">
        <w:rPr>
          <w:rFonts w:ascii="Open Sans" w:hAnsi="Open Sans" w:cs="Open Sans"/>
        </w:rPr>
        <w:t>Jacobsen, D., and R. Marin. 2008. Bolivian Altiplano streams with low richness of macroinvertebrates and large diel fluctuations in temperature and oxygen. Aquatic Ecology 42:643-656.</w:t>
      </w:r>
    </w:p>
    <w:p w14:paraId="1CF72A5C" w14:textId="77777777" w:rsidR="00275E85" w:rsidRPr="00C01424" w:rsidRDefault="00E54A8D" w:rsidP="00E54A8D">
      <w:pPr>
        <w:ind w:left="720" w:hanging="720"/>
        <w:rPr>
          <w:rFonts w:ascii="Open Sans" w:hAnsi="Open Sans" w:cs="Open Sans"/>
        </w:rPr>
      </w:pPr>
      <w:r w:rsidRPr="00C01424">
        <w:rPr>
          <w:rFonts w:ascii="Open Sans" w:hAnsi="Open Sans" w:cs="Open Sans"/>
        </w:rPr>
        <w:t>Koning, C., K. Ashley, P. Slaney, and A. Paul. 1998. Stream fertilization as a fisheries mitigation technique for perturbated oligotrophic trout streams in British Columbia. Pages 109-120 in M.K. Brewin and D.M.A. Monita, tech. Cords. Forest-fish conference: land management practices affecting aquatic ecosystems. Proc. Forest-Fish Conf., May 1-4, 1996, Calgary, AB. Nat. Resource Canada, Edmonton, AB, Inf. Rep. NOR-X-356.</w:t>
      </w:r>
    </w:p>
    <w:p w14:paraId="03620886" w14:textId="558D4C61" w:rsidR="002547A0" w:rsidRPr="00C01424" w:rsidRDefault="0085518E" w:rsidP="0085518E">
      <w:pPr>
        <w:ind w:left="720" w:hanging="720"/>
        <w:rPr>
          <w:rFonts w:ascii="Open Sans" w:hAnsi="Open Sans" w:cs="Open Sans"/>
        </w:rPr>
      </w:pPr>
      <w:r w:rsidRPr="00C01424">
        <w:rPr>
          <w:rFonts w:ascii="Open Sans" w:hAnsi="Open Sans" w:cs="Open Sans"/>
        </w:rPr>
        <w:t xml:space="preserve">MacPherson, L.M., M.G. Sullivan, A.L. </w:t>
      </w:r>
      <w:proofErr w:type="gramStart"/>
      <w:r w:rsidRPr="00C01424">
        <w:rPr>
          <w:rFonts w:ascii="Open Sans" w:hAnsi="Open Sans" w:cs="Open Sans"/>
        </w:rPr>
        <w:t>Foote</w:t>
      </w:r>
      <w:proofErr w:type="gramEnd"/>
      <w:r w:rsidRPr="00C01424">
        <w:rPr>
          <w:rFonts w:ascii="Open Sans" w:hAnsi="Open Sans" w:cs="Open Sans"/>
        </w:rPr>
        <w:t xml:space="preserve"> and C.E. Stevens. 2012. Effects of culverts on stream fish assemblages in the Alberta foothills. North American Journal of Fisheries Management 32: 480–490.</w:t>
      </w:r>
    </w:p>
    <w:p w14:paraId="5A78DE6C" w14:textId="65791BDF" w:rsidR="00C01EA0" w:rsidRPr="00C01424" w:rsidRDefault="005E39C0" w:rsidP="005E39C0">
      <w:pPr>
        <w:ind w:left="720" w:hanging="720"/>
        <w:rPr>
          <w:rFonts w:ascii="Open Sans" w:hAnsi="Open Sans" w:cs="Open Sans"/>
        </w:rPr>
      </w:pPr>
      <w:r w:rsidRPr="00C01424">
        <w:rPr>
          <w:rFonts w:ascii="Open Sans" w:hAnsi="Open Sans" w:cs="Open Sans"/>
        </w:rPr>
        <w:lastRenderedPageBreak/>
        <w:t>Meijering, M.P.D. 1991. Lack of oxygen and low pH as limiting factors for Gammarus in Hessian brooks and rivers. Hydrobiologia 223:159-169.</w:t>
      </w:r>
    </w:p>
    <w:p w14:paraId="518D9EAB" w14:textId="2B2AD43B" w:rsidR="004D396A" w:rsidRPr="00C01424" w:rsidRDefault="004D396A" w:rsidP="005E39C0">
      <w:pPr>
        <w:ind w:left="720" w:hanging="720"/>
        <w:rPr>
          <w:rFonts w:ascii="Open Sans" w:hAnsi="Open Sans" w:cs="Open Sans"/>
        </w:rPr>
      </w:pPr>
      <w:r w:rsidRPr="00C01424">
        <w:rPr>
          <w:rFonts w:ascii="Open Sans" w:hAnsi="Open Sans" w:cs="Open Sans"/>
        </w:rPr>
        <w:t>Stelfox, B., M. Anielski, M. Carlson, and T. Antoniuk. 2008. Alberta Southern East Slopes Integrated Land Management Pilot Project. Prepared for Alberta Environment and Alberta Sustainable Resource Development by the ASPEN Group. 55 p.</w:t>
      </w:r>
    </w:p>
    <w:p w14:paraId="7F189BBD" w14:textId="586A7195" w:rsidR="0011276F" w:rsidRPr="00C01424" w:rsidRDefault="0011276F" w:rsidP="005E39C0">
      <w:pPr>
        <w:ind w:left="720" w:hanging="720"/>
        <w:rPr>
          <w:rFonts w:ascii="Open Sans" w:hAnsi="Open Sans" w:cs="Open Sans"/>
        </w:rPr>
      </w:pPr>
      <w:r w:rsidRPr="00C01424">
        <w:rPr>
          <w:rFonts w:ascii="Open Sans" w:hAnsi="Open Sans" w:cs="Open Sans"/>
        </w:rPr>
        <w:t>Zuur, A.F., E.N. Leno and C.S. Elphick. 2010. A protocol for data exploration to avoid common statistical problems. Methods in Ecology and Evolution 1:3-14.</w:t>
      </w:r>
    </w:p>
    <w:sectPr w:rsidR="0011276F" w:rsidRPr="00C0142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4600" w14:textId="77777777" w:rsidR="00FB7670" w:rsidRDefault="00FB7670" w:rsidP="00E7799D">
      <w:pPr>
        <w:spacing w:after="0" w:line="240" w:lineRule="auto"/>
      </w:pPr>
      <w:r>
        <w:separator/>
      </w:r>
    </w:p>
  </w:endnote>
  <w:endnote w:type="continuationSeparator" w:id="0">
    <w:p w14:paraId="190D8302" w14:textId="77777777" w:rsidR="00FB7670" w:rsidRDefault="00FB7670" w:rsidP="00E7799D">
      <w:pPr>
        <w:spacing w:after="0" w:line="240" w:lineRule="auto"/>
      </w:pPr>
      <w:r>
        <w:continuationSeparator/>
      </w:r>
    </w:p>
  </w:endnote>
  <w:endnote w:type="continuationNotice" w:id="1">
    <w:p w14:paraId="411D40AC" w14:textId="77777777" w:rsidR="00FB7670" w:rsidRDefault="00FB7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DE48CB" w:rsidRDefault="00E7799D">
        <w:pPr>
          <w:pStyle w:val="Footer"/>
          <w:jc w:val="right"/>
          <w:rPr>
            <w:rFonts w:ascii="Open Sans Light" w:hAnsi="Open Sans Light" w:cs="Open Sans Light"/>
            <w:sz w:val="20"/>
            <w:szCs w:val="20"/>
          </w:rPr>
        </w:pPr>
        <w:r w:rsidRPr="00DE48CB">
          <w:rPr>
            <w:rFonts w:ascii="Open Sans Light" w:hAnsi="Open Sans Light" w:cs="Open Sans Light"/>
            <w:sz w:val="20"/>
            <w:szCs w:val="20"/>
          </w:rPr>
          <w:fldChar w:fldCharType="begin"/>
        </w:r>
        <w:r w:rsidRPr="00DE48CB">
          <w:rPr>
            <w:rFonts w:ascii="Open Sans Light" w:hAnsi="Open Sans Light" w:cs="Open Sans Light"/>
            <w:sz w:val="20"/>
            <w:szCs w:val="20"/>
          </w:rPr>
          <w:instrText xml:space="preserve"> PAGE   \* MERGEFORMAT </w:instrText>
        </w:r>
        <w:r w:rsidRPr="00DE48CB">
          <w:rPr>
            <w:rFonts w:ascii="Open Sans Light" w:hAnsi="Open Sans Light" w:cs="Open Sans Light"/>
            <w:sz w:val="20"/>
            <w:szCs w:val="20"/>
          </w:rPr>
          <w:fldChar w:fldCharType="separate"/>
        </w:r>
        <w:r w:rsidRPr="00DE48CB">
          <w:rPr>
            <w:rFonts w:ascii="Open Sans Light" w:hAnsi="Open Sans Light" w:cs="Open Sans Light"/>
            <w:noProof/>
            <w:sz w:val="20"/>
            <w:szCs w:val="20"/>
          </w:rPr>
          <w:t>2</w:t>
        </w:r>
        <w:r w:rsidRPr="00DE48CB">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8887" w14:textId="77777777" w:rsidR="00FB7670" w:rsidRDefault="00FB7670" w:rsidP="00E7799D">
      <w:pPr>
        <w:spacing w:after="0" w:line="240" w:lineRule="auto"/>
      </w:pPr>
      <w:r>
        <w:separator/>
      </w:r>
    </w:p>
  </w:footnote>
  <w:footnote w:type="continuationSeparator" w:id="0">
    <w:p w14:paraId="1A8EBD00" w14:textId="77777777" w:rsidR="00FB7670" w:rsidRDefault="00FB7670" w:rsidP="00E7799D">
      <w:pPr>
        <w:spacing w:after="0" w:line="240" w:lineRule="auto"/>
      </w:pPr>
      <w:r>
        <w:continuationSeparator/>
      </w:r>
    </w:p>
  </w:footnote>
  <w:footnote w:type="continuationNotice" w:id="1">
    <w:p w14:paraId="0FB2E874" w14:textId="77777777" w:rsidR="00FB7670" w:rsidRDefault="00FB7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8F73D8" w:rsidRDefault="00C368E1" w:rsidP="00762B7E">
    <w:pPr>
      <w:pStyle w:val="Header"/>
      <w:rPr>
        <w:rFonts w:ascii="Open Sans Light" w:hAnsi="Open Sans Light" w:cs="Open Sans Light"/>
        <w:sz w:val="20"/>
        <w:szCs w:val="20"/>
      </w:rPr>
    </w:pPr>
    <w:r w:rsidRPr="008F73D8">
      <w:rPr>
        <w:rFonts w:ascii="Open Sans Light" w:hAnsi="Open Sans Light" w:cs="Open Sans Light"/>
        <w:sz w:val="20"/>
        <w:szCs w:val="20"/>
      </w:rPr>
      <w:t xml:space="preserve">Stressor-Response </w:t>
    </w:r>
    <w:r w:rsidR="00571DE7" w:rsidRPr="008F73D8">
      <w:rPr>
        <w:rFonts w:ascii="Open Sans Light" w:hAnsi="Open Sans Light" w:cs="Open Sans Light"/>
        <w:sz w:val="20"/>
        <w:szCs w:val="20"/>
      </w:rPr>
      <w:t xml:space="preserve">Function </w:t>
    </w:r>
    <w:r w:rsidRPr="008F73D8">
      <w:rPr>
        <w:rFonts w:ascii="Open Sans Light" w:hAnsi="Open Sans Light" w:cs="Open Sans Light"/>
        <w:sz w:val="20"/>
        <w:szCs w:val="20"/>
      </w:rPr>
      <w:t>Library Documentation</w:t>
    </w:r>
    <w:r w:rsidRPr="008F73D8">
      <w:rPr>
        <w:rFonts w:ascii="Open Sans Light" w:hAnsi="Open Sans Light" w:cs="Open Sans Light"/>
        <w:sz w:val="20"/>
        <w:szCs w:val="20"/>
      </w:rPr>
      <w:tab/>
    </w:r>
    <w:r w:rsidRPr="008F73D8">
      <w:rPr>
        <w:rFonts w:ascii="Open Sans Light" w:hAnsi="Open Sans Light" w:cs="Open Sans Light"/>
        <w:sz w:val="20"/>
        <w:szCs w:val="20"/>
      </w:rPr>
      <w:tab/>
    </w:r>
    <w:r w:rsidR="00C47B94" w:rsidRPr="008F73D8">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4FABt6/P4tAAAA"/>
  </w:docVars>
  <w:rsids>
    <w:rsidRoot w:val="00EE401F"/>
    <w:rsid w:val="00000F3E"/>
    <w:rsid w:val="00001D79"/>
    <w:rsid w:val="000029A9"/>
    <w:rsid w:val="0000394A"/>
    <w:rsid w:val="00003B6A"/>
    <w:rsid w:val="00007BF7"/>
    <w:rsid w:val="00010BC2"/>
    <w:rsid w:val="00011382"/>
    <w:rsid w:val="00015839"/>
    <w:rsid w:val="000165A3"/>
    <w:rsid w:val="00016D31"/>
    <w:rsid w:val="00017BF6"/>
    <w:rsid w:val="00020003"/>
    <w:rsid w:val="00021C72"/>
    <w:rsid w:val="00022F54"/>
    <w:rsid w:val="00024020"/>
    <w:rsid w:val="00031AD9"/>
    <w:rsid w:val="00032678"/>
    <w:rsid w:val="000355E1"/>
    <w:rsid w:val="00036F9C"/>
    <w:rsid w:val="00041020"/>
    <w:rsid w:val="00041823"/>
    <w:rsid w:val="00041C7F"/>
    <w:rsid w:val="0004418D"/>
    <w:rsid w:val="0004514A"/>
    <w:rsid w:val="000456D5"/>
    <w:rsid w:val="00052045"/>
    <w:rsid w:val="00060C85"/>
    <w:rsid w:val="00064DDD"/>
    <w:rsid w:val="000668C5"/>
    <w:rsid w:val="000747D3"/>
    <w:rsid w:val="00074DAE"/>
    <w:rsid w:val="00080A06"/>
    <w:rsid w:val="00082741"/>
    <w:rsid w:val="00084636"/>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3512"/>
    <w:rsid w:val="000B5169"/>
    <w:rsid w:val="000C05EC"/>
    <w:rsid w:val="000C2027"/>
    <w:rsid w:val="000C2C70"/>
    <w:rsid w:val="000C3263"/>
    <w:rsid w:val="000C3DAE"/>
    <w:rsid w:val="000C7EB5"/>
    <w:rsid w:val="000D648C"/>
    <w:rsid w:val="000D77AF"/>
    <w:rsid w:val="000D7BFF"/>
    <w:rsid w:val="000E4ACE"/>
    <w:rsid w:val="000F1975"/>
    <w:rsid w:val="001014FA"/>
    <w:rsid w:val="00101B41"/>
    <w:rsid w:val="00102880"/>
    <w:rsid w:val="001037BA"/>
    <w:rsid w:val="00106929"/>
    <w:rsid w:val="00107DC5"/>
    <w:rsid w:val="00111BAA"/>
    <w:rsid w:val="0011276F"/>
    <w:rsid w:val="001149C6"/>
    <w:rsid w:val="00115F06"/>
    <w:rsid w:val="0011680D"/>
    <w:rsid w:val="00117BB2"/>
    <w:rsid w:val="001225FE"/>
    <w:rsid w:val="00122644"/>
    <w:rsid w:val="001253A5"/>
    <w:rsid w:val="00127D66"/>
    <w:rsid w:val="00130A42"/>
    <w:rsid w:val="001344E2"/>
    <w:rsid w:val="001376D5"/>
    <w:rsid w:val="001420C8"/>
    <w:rsid w:val="00143A0E"/>
    <w:rsid w:val="001443E1"/>
    <w:rsid w:val="00145862"/>
    <w:rsid w:val="0015496B"/>
    <w:rsid w:val="00156C2E"/>
    <w:rsid w:val="0015760F"/>
    <w:rsid w:val="00161008"/>
    <w:rsid w:val="00164660"/>
    <w:rsid w:val="00165546"/>
    <w:rsid w:val="00165BF9"/>
    <w:rsid w:val="00165F50"/>
    <w:rsid w:val="00170158"/>
    <w:rsid w:val="0017098E"/>
    <w:rsid w:val="00170CC2"/>
    <w:rsid w:val="001738B7"/>
    <w:rsid w:val="00180ED3"/>
    <w:rsid w:val="00184F4D"/>
    <w:rsid w:val="001858E1"/>
    <w:rsid w:val="00187448"/>
    <w:rsid w:val="00191AC7"/>
    <w:rsid w:val="00193B4A"/>
    <w:rsid w:val="00195A94"/>
    <w:rsid w:val="001A195F"/>
    <w:rsid w:val="001A1DEF"/>
    <w:rsid w:val="001A389E"/>
    <w:rsid w:val="001A4049"/>
    <w:rsid w:val="001B11AE"/>
    <w:rsid w:val="001B3960"/>
    <w:rsid w:val="001B3DAF"/>
    <w:rsid w:val="001B4A0A"/>
    <w:rsid w:val="001B4EDC"/>
    <w:rsid w:val="001B647E"/>
    <w:rsid w:val="001C2775"/>
    <w:rsid w:val="001C367C"/>
    <w:rsid w:val="001C73BB"/>
    <w:rsid w:val="001E3E09"/>
    <w:rsid w:val="001F3347"/>
    <w:rsid w:val="001F392C"/>
    <w:rsid w:val="001F4971"/>
    <w:rsid w:val="001F7D0E"/>
    <w:rsid w:val="00201E25"/>
    <w:rsid w:val="00206B27"/>
    <w:rsid w:val="00210A53"/>
    <w:rsid w:val="00217798"/>
    <w:rsid w:val="002218D0"/>
    <w:rsid w:val="00222550"/>
    <w:rsid w:val="00224A9A"/>
    <w:rsid w:val="00235D28"/>
    <w:rsid w:val="00240F5E"/>
    <w:rsid w:val="00241F01"/>
    <w:rsid w:val="002431B0"/>
    <w:rsid w:val="0024683B"/>
    <w:rsid w:val="00247371"/>
    <w:rsid w:val="00250D1B"/>
    <w:rsid w:val="00251E39"/>
    <w:rsid w:val="002547A0"/>
    <w:rsid w:val="002551A5"/>
    <w:rsid w:val="0025717C"/>
    <w:rsid w:val="00265C11"/>
    <w:rsid w:val="0026787C"/>
    <w:rsid w:val="00271AFA"/>
    <w:rsid w:val="00275E85"/>
    <w:rsid w:val="00280FF3"/>
    <w:rsid w:val="00283331"/>
    <w:rsid w:val="002837CA"/>
    <w:rsid w:val="0028388B"/>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4E13"/>
    <w:rsid w:val="002E5E2A"/>
    <w:rsid w:val="002F3DC8"/>
    <w:rsid w:val="002F5383"/>
    <w:rsid w:val="002F73AA"/>
    <w:rsid w:val="00300033"/>
    <w:rsid w:val="00300110"/>
    <w:rsid w:val="003013BC"/>
    <w:rsid w:val="0030245D"/>
    <w:rsid w:val="00304A1A"/>
    <w:rsid w:val="00304AE7"/>
    <w:rsid w:val="0031740D"/>
    <w:rsid w:val="00320C8E"/>
    <w:rsid w:val="00320DED"/>
    <w:rsid w:val="00321084"/>
    <w:rsid w:val="00321D1F"/>
    <w:rsid w:val="00322182"/>
    <w:rsid w:val="00324260"/>
    <w:rsid w:val="0032786E"/>
    <w:rsid w:val="003309B0"/>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158A"/>
    <w:rsid w:val="003829CD"/>
    <w:rsid w:val="00383EAC"/>
    <w:rsid w:val="003865C0"/>
    <w:rsid w:val="00386D5E"/>
    <w:rsid w:val="00386DE9"/>
    <w:rsid w:val="0038707E"/>
    <w:rsid w:val="003920D0"/>
    <w:rsid w:val="00394F0D"/>
    <w:rsid w:val="003A0E9B"/>
    <w:rsid w:val="003A3264"/>
    <w:rsid w:val="003A4326"/>
    <w:rsid w:val="003A5335"/>
    <w:rsid w:val="003B03B6"/>
    <w:rsid w:val="003B3422"/>
    <w:rsid w:val="003B452F"/>
    <w:rsid w:val="003B4980"/>
    <w:rsid w:val="003B74DE"/>
    <w:rsid w:val="003B7BF7"/>
    <w:rsid w:val="003C0C88"/>
    <w:rsid w:val="003C2AD8"/>
    <w:rsid w:val="003C3F8D"/>
    <w:rsid w:val="003C6B1C"/>
    <w:rsid w:val="003C7279"/>
    <w:rsid w:val="003D729F"/>
    <w:rsid w:val="003D7E57"/>
    <w:rsid w:val="003E1978"/>
    <w:rsid w:val="003E1D5B"/>
    <w:rsid w:val="003E29F6"/>
    <w:rsid w:val="003E494B"/>
    <w:rsid w:val="003E638A"/>
    <w:rsid w:val="003E6403"/>
    <w:rsid w:val="003E69F4"/>
    <w:rsid w:val="003E7AD4"/>
    <w:rsid w:val="003F3B60"/>
    <w:rsid w:val="003F3F8D"/>
    <w:rsid w:val="003F4A21"/>
    <w:rsid w:val="00400B85"/>
    <w:rsid w:val="00404994"/>
    <w:rsid w:val="004061D4"/>
    <w:rsid w:val="004071FF"/>
    <w:rsid w:val="00410060"/>
    <w:rsid w:val="00420C0B"/>
    <w:rsid w:val="00421B52"/>
    <w:rsid w:val="00422262"/>
    <w:rsid w:val="0042249B"/>
    <w:rsid w:val="00423BFD"/>
    <w:rsid w:val="00427A71"/>
    <w:rsid w:val="00437F44"/>
    <w:rsid w:val="00437F4F"/>
    <w:rsid w:val="004409B2"/>
    <w:rsid w:val="00447A6A"/>
    <w:rsid w:val="004510F1"/>
    <w:rsid w:val="00453052"/>
    <w:rsid w:val="00460576"/>
    <w:rsid w:val="0046256D"/>
    <w:rsid w:val="004629C7"/>
    <w:rsid w:val="00466AA1"/>
    <w:rsid w:val="00470ECB"/>
    <w:rsid w:val="0047132C"/>
    <w:rsid w:val="00471686"/>
    <w:rsid w:val="00474D7B"/>
    <w:rsid w:val="004770F6"/>
    <w:rsid w:val="00477653"/>
    <w:rsid w:val="00481708"/>
    <w:rsid w:val="00481BDA"/>
    <w:rsid w:val="004920B1"/>
    <w:rsid w:val="00496C39"/>
    <w:rsid w:val="00496D5A"/>
    <w:rsid w:val="004972DF"/>
    <w:rsid w:val="004A26D1"/>
    <w:rsid w:val="004A302A"/>
    <w:rsid w:val="004A71F2"/>
    <w:rsid w:val="004B0542"/>
    <w:rsid w:val="004B09D0"/>
    <w:rsid w:val="004B586D"/>
    <w:rsid w:val="004B677E"/>
    <w:rsid w:val="004C174B"/>
    <w:rsid w:val="004C5AA5"/>
    <w:rsid w:val="004D008D"/>
    <w:rsid w:val="004D396A"/>
    <w:rsid w:val="004D39BA"/>
    <w:rsid w:val="004D4715"/>
    <w:rsid w:val="004D5FFE"/>
    <w:rsid w:val="004E0BD5"/>
    <w:rsid w:val="004E3452"/>
    <w:rsid w:val="004E3C07"/>
    <w:rsid w:val="004E5997"/>
    <w:rsid w:val="004E69D5"/>
    <w:rsid w:val="004E6AD5"/>
    <w:rsid w:val="00500E7D"/>
    <w:rsid w:val="00501180"/>
    <w:rsid w:val="00501533"/>
    <w:rsid w:val="005019F0"/>
    <w:rsid w:val="00502452"/>
    <w:rsid w:val="00502AD6"/>
    <w:rsid w:val="005041F9"/>
    <w:rsid w:val="005053F5"/>
    <w:rsid w:val="00505E65"/>
    <w:rsid w:val="0051275E"/>
    <w:rsid w:val="00514290"/>
    <w:rsid w:val="00515975"/>
    <w:rsid w:val="005169D1"/>
    <w:rsid w:val="00520662"/>
    <w:rsid w:val="00524C4D"/>
    <w:rsid w:val="005306A4"/>
    <w:rsid w:val="0053105E"/>
    <w:rsid w:val="00533E7D"/>
    <w:rsid w:val="00540443"/>
    <w:rsid w:val="005414A8"/>
    <w:rsid w:val="005427E8"/>
    <w:rsid w:val="00542DCE"/>
    <w:rsid w:val="005455A7"/>
    <w:rsid w:val="00546741"/>
    <w:rsid w:val="00551BD6"/>
    <w:rsid w:val="00553328"/>
    <w:rsid w:val="00557963"/>
    <w:rsid w:val="00561E5B"/>
    <w:rsid w:val="00562C36"/>
    <w:rsid w:val="00565B57"/>
    <w:rsid w:val="00571DE7"/>
    <w:rsid w:val="005774CA"/>
    <w:rsid w:val="00581683"/>
    <w:rsid w:val="00583010"/>
    <w:rsid w:val="0058392F"/>
    <w:rsid w:val="005926A5"/>
    <w:rsid w:val="00594CC0"/>
    <w:rsid w:val="00595FB4"/>
    <w:rsid w:val="00596459"/>
    <w:rsid w:val="00596BB0"/>
    <w:rsid w:val="005A0F5A"/>
    <w:rsid w:val="005A1365"/>
    <w:rsid w:val="005A25F7"/>
    <w:rsid w:val="005A73D7"/>
    <w:rsid w:val="005A7F70"/>
    <w:rsid w:val="005B3147"/>
    <w:rsid w:val="005B48F0"/>
    <w:rsid w:val="005B4D35"/>
    <w:rsid w:val="005C225A"/>
    <w:rsid w:val="005C3232"/>
    <w:rsid w:val="005C66A0"/>
    <w:rsid w:val="005C6A5E"/>
    <w:rsid w:val="005C772C"/>
    <w:rsid w:val="005D0508"/>
    <w:rsid w:val="005D0BC4"/>
    <w:rsid w:val="005D4264"/>
    <w:rsid w:val="005D7843"/>
    <w:rsid w:val="005E39C0"/>
    <w:rsid w:val="005E51AC"/>
    <w:rsid w:val="005E5C6C"/>
    <w:rsid w:val="005E6062"/>
    <w:rsid w:val="005F437C"/>
    <w:rsid w:val="005F6146"/>
    <w:rsid w:val="00600A24"/>
    <w:rsid w:val="00602E57"/>
    <w:rsid w:val="00606849"/>
    <w:rsid w:val="0061070A"/>
    <w:rsid w:val="00611788"/>
    <w:rsid w:val="006132C7"/>
    <w:rsid w:val="00614D1D"/>
    <w:rsid w:val="00617A7B"/>
    <w:rsid w:val="006201B8"/>
    <w:rsid w:val="00622711"/>
    <w:rsid w:val="00625410"/>
    <w:rsid w:val="0062561B"/>
    <w:rsid w:val="00627FCD"/>
    <w:rsid w:val="00631790"/>
    <w:rsid w:val="006349CC"/>
    <w:rsid w:val="0063514A"/>
    <w:rsid w:val="00637CC4"/>
    <w:rsid w:val="006459C3"/>
    <w:rsid w:val="00646487"/>
    <w:rsid w:val="00653887"/>
    <w:rsid w:val="00654224"/>
    <w:rsid w:val="00662827"/>
    <w:rsid w:val="00663663"/>
    <w:rsid w:val="006654A6"/>
    <w:rsid w:val="00665B9C"/>
    <w:rsid w:val="0067196A"/>
    <w:rsid w:val="00672B41"/>
    <w:rsid w:val="00676D63"/>
    <w:rsid w:val="0068382E"/>
    <w:rsid w:val="00685008"/>
    <w:rsid w:val="006866CA"/>
    <w:rsid w:val="0068676B"/>
    <w:rsid w:val="00686D28"/>
    <w:rsid w:val="00693A57"/>
    <w:rsid w:val="006956E1"/>
    <w:rsid w:val="006A1599"/>
    <w:rsid w:val="006A1B46"/>
    <w:rsid w:val="006A6D47"/>
    <w:rsid w:val="006A7DE6"/>
    <w:rsid w:val="006B3294"/>
    <w:rsid w:val="006B5A6A"/>
    <w:rsid w:val="006B6B08"/>
    <w:rsid w:val="006C2907"/>
    <w:rsid w:val="006C4BAD"/>
    <w:rsid w:val="006C5CF9"/>
    <w:rsid w:val="006C7E2D"/>
    <w:rsid w:val="006D111D"/>
    <w:rsid w:val="006D2844"/>
    <w:rsid w:val="006D371A"/>
    <w:rsid w:val="006D6A89"/>
    <w:rsid w:val="006E08B8"/>
    <w:rsid w:val="006E11D4"/>
    <w:rsid w:val="006E1226"/>
    <w:rsid w:val="006E6370"/>
    <w:rsid w:val="006F0E0E"/>
    <w:rsid w:val="006F2F31"/>
    <w:rsid w:val="006F4B76"/>
    <w:rsid w:val="007029D7"/>
    <w:rsid w:val="007118DB"/>
    <w:rsid w:val="0071291D"/>
    <w:rsid w:val="00712C79"/>
    <w:rsid w:val="00717CE9"/>
    <w:rsid w:val="00717D00"/>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65BF"/>
    <w:rsid w:val="00756E83"/>
    <w:rsid w:val="00760D2B"/>
    <w:rsid w:val="007626D0"/>
    <w:rsid w:val="00762701"/>
    <w:rsid w:val="00762B7E"/>
    <w:rsid w:val="00772980"/>
    <w:rsid w:val="00774FA2"/>
    <w:rsid w:val="00780CAB"/>
    <w:rsid w:val="0078156E"/>
    <w:rsid w:val="007816A5"/>
    <w:rsid w:val="00781A4D"/>
    <w:rsid w:val="007823A9"/>
    <w:rsid w:val="00784189"/>
    <w:rsid w:val="007870EA"/>
    <w:rsid w:val="00790181"/>
    <w:rsid w:val="0079062E"/>
    <w:rsid w:val="00790908"/>
    <w:rsid w:val="00790F57"/>
    <w:rsid w:val="007910E8"/>
    <w:rsid w:val="0079771C"/>
    <w:rsid w:val="007A0324"/>
    <w:rsid w:val="007A0FA1"/>
    <w:rsid w:val="007A3ED0"/>
    <w:rsid w:val="007B05B1"/>
    <w:rsid w:val="007B215A"/>
    <w:rsid w:val="007B6CE8"/>
    <w:rsid w:val="007C60FC"/>
    <w:rsid w:val="007D2E41"/>
    <w:rsid w:val="007D2F0C"/>
    <w:rsid w:val="007D2FA6"/>
    <w:rsid w:val="007D6978"/>
    <w:rsid w:val="007E2557"/>
    <w:rsid w:val="007E68EA"/>
    <w:rsid w:val="007E7575"/>
    <w:rsid w:val="007E7FF0"/>
    <w:rsid w:val="007F0126"/>
    <w:rsid w:val="007F2ACE"/>
    <w:rsid w:val="007F40AE"/>
    <w:rsid w:val="007F4D0D"/>
    <w:rsid w:val="007F5F85"/>
    <w:rsid w:val="007F65BD"/>
    <w:rsid w:val="007F6B84"/>
    <w:rsid w:val="0080371A"/>
    <w:rsid w:val="00806EDA"/>
    <w:rsid w:val="008072D2"/>
    <w:rsid w:val="00810308"/>
    <w:rsid w:val="00810DA4"/>
    <w:rsid w:val="008110F8"/>
    <w:rsid w:val="0081271C"/>
    <w:rsid w:val="008164B5"/>
    <w:rsid w:val="008176B6"/>
    <w:rsid w:val="00820F62"/>
    <w:rsid w:val="008243D2"/>
    <w:rsid w:val="008248BB"/>
    <w:rsid w:val="00827A2D"/>
    <w:rsid w:val="00827E39"/>
    <w:rsid w:val="0083033B"/>
    <w:rsid w:val="00831C16"/>
    <w:rsid w:val="0083377C"/>
    <w:rsid w:val="008412C2"/>
    <w:rsid w:val="00841437"/>
    <w:rsid w:val="0084446A"/>
    <w:rsid w:val="00846258"/>
    <w:rsid w:val="00846B17"/>
    <w:rsid w:val="00852726"/>
    <w:rsid w:val="008534F7"/>
    <w:rsid w:val="0085518E"/>
    <w:rsid w:val="0087024F"/>
    <w:rsid w:val="00871295"/>
    <w:rsid w:val="008722ED"/>
    <w:rsid w:val="0087429C"/>
    <w:rsid w:val="00874ACE"/>
    <w:rsid w:val="00875CBF"/>
    <w:rsid w:val="00876FEA"/>
    <w:rsid w:val="00877AAD"/>
    <w:rsid w:val="00880CC2"/>
    <w:rsid w:val="008829F9"/>
    <w:rsid w:val="008874F0"/>
    <w:rsid w:val="00887B95"/>
    <w:rsid w:val="00890794"/>
    <w:rsid w:val="0089147C"/>
    <w:rsid w:val="00891509"/>
    <w:rsid w:val="00892A10"/>
    <w:rsid w:val="00895151"/>
    <w:rsid w:val="00896BAA"/>
    <w:rsid w:val="008A31C6"/>
    <w:rsid w:val="008A6203"/>
    <w:rsid w:val="008A6540"/>
    <w:rsid w:val="008A7FCC"/>
    <w:rsid w:val="008B15B7"/>
    <w:rsid w:val="008B3E9F"/>
    <w:rsid w:val="008B7276"/>
    <w:rsid w:val="008C1604"/>
    <w:rsid w:val="008C2944"/>
    <w:rsid w:val="008C55A0"/>
    <w:rsid w:val="008C7455"/>
    <w:rsid w:val="008D1EC0"/>
    <w:rsid w:val="008D3EF1"/>
    <w:rsid w:val="008D4C7B"/>
    <w:rsid w:val="008D52C2"/>
    <w:rsid w:val="008D5C03"/>
    <w:rsid w:val="008D6BDE"/>
    <w:rsid w:val="008E249D"/>
    <w:rsid w:val="008E43D9"/>
    <w:rsid w:val="008E4FA8"/>
    <w:rsid w:val="008E5698"/>
    <w:rsid w:val="008E6051"/>
    <w:rsid w:val="008F00FE"/>
    <w:rsid w:val="008F1409"/>
    <w:rsid w:val="008F45E7"/>
    <w:rsid w:val="008F5CD0"/>
    <w:rsid w:val="008F73D8"/>
    <w:rsid w:val="00900BB0"/>
    <w:rsid w:val="00901CB0"/>
    <w:rsid w:val="00902F4E"/>
    <w:rsid w:val="0090335B"/>
    <w:rsid w:val="0090385D"/>
    <w:rsid w:val="009062DE"/>
    <w:rsid w:val="0091097B"/>
    <w:rsid w:val="0091394D"/>
    <w:rsid w:val="00914EF1"/>
    <w:rsid w:val="009150DA"/>
    <w:rsid w:val="00916921"/>
    <w:rsid w:val="0091716B"/>
    <w:rsid w:val="00917619"/>
    <w:rsid w:val="00920B49"/>
    <w:rsid w:val="00925C30"/>
    <w:rsid w:val="00927232"/>
    <w:rsid w:val="0093096A"/>
    <w:rsid w:val="00930FA9"/>
    <w:rsid w:val="009311AC"/>
    <w:rsid w:val="00935B89"/>
    <w:rsid w:val="009424C3"/>
    <w:rsid w:val="009432D2"/>
    <w:rsid w:val="0094339C"/>
    <w:rsid w:val="00943FA1"/>
    <w:rsid w:val="00945E99"/>
    <w:rsid w:val="009467B7"/>
    <w:rsid w:val="00951EA7"/>
    <w:rsid w:val="009552F3"/>
    <w:rsid w:val="009605FB"/>
    <w:rsid w:val="00964506"/>
    <w:rsid w:val="00966667"/>
    <w:rsid w:val="00972BF4"/>
    <w:rsid w:val="00973627"/>
    <w:rsid w:val="009761D9"/>
    <w:rsid w:val="00976BD5"/>
    <w:rsid w:val="009809ED"/>
    <w:rsid w:val="0098183E"/>
    <w:rsid w:val="00982967"/>
    <w:rsid w:val="00986F29"/>
    <w:rsid w:val="0099076E"/>
    <w:rsid w:val="00990BF3"/>
    <w:rsid w:val="009A1B5A"/>
    <w:rsid w:val="009A4586"/>
    <w:rsid w:val="009A57DE"/>
    <w:rsid w:val="009B0615"/>
    <w:rsid w:val="009B3873"/>
    <w:rsid w:val="009B39BE"/>
    <w:rsid w:val="009B46BE"/>
    <w:rsid w:val="009B59E7"/>
    <w:rsid w:val="009B6532"/>
    <w:rsid w:val="009C0D4D"/>
    <w:rsid w:val="009C0EF0"/>
    <w:rsid w:val="009C1188"/>
    <w:rsid w:val="009D0518"/>
    <w:rsid w:val="009D445C"/>
    <w:rsid w:val="009D6BE2"/>
    <w:rsid w:val="009D7644"/>
    <w:rsid w:val="009D7891"/>
    <w:rsid w:val="009E3F56"/>
    <w:rsid w:val="009E485D"/>
    <w:rsid w:val="009E609D"/>
    <w:rsid w:val="009E6618"/>
    <w:rsid w:val="009F10C6"/>
    <w:rsid w:val="009F29D2"/>
    <w:rsid w:val="009F6A18"/>
    <w:rsid w:val="00A015EA"/>
    <w:rsid w:val="00A01735"/>
    <w:rsid w:val="00A024E5"/>
    <w:rsid w:val="00A027D2"/>
    <w:rsid w:val="00A02836"/>
    <w:rsid w:val="00A1195F"/>
    <w:rsid w:val="00A12D3B"/>
    <w:rsid w:val="00A15475"/>
    <w:rsid w:val="00A16A3C"/>
    <w:rsid w:val="00A16D70"/>
    <w:rsid w:val="00A23990"/>
    <w:rsid w:val="00A23AD7"/>
    <w:rsid w:val="00A37B71"/>
    <w:rsid w:val="00A42A3D"/>
    <w:rsid w:val="00A42EEF"/>
    <w:rsid w:val="00A431DF"/>
    <w:rsid w:val="00A43866"/>
    <w:rsid w:val="00A43DA1"/>
    <w:rsid w:val="00A4414A"/>
    <w:rsid w:val="00A476F5"/>
    <w:rsid w:val="00A53757"/>
    <w:rsid w:val="00A55B49"/>
    <w:rsid w:val="00A57598"/>
    <w:rsid w:val="00A63DA5"/>
    <w:rsid w:val="00A64CC8"/>
    <w:rsid w:val="00A64F90"/>
    <w:rsid w:val="00A7119F"/>
    <w:rsid w:val="00A723D6"/>
    <w:rsid w:val="00A740B2"/>
    <w:rsid w:val="00A75470"/>
    <w:rsid w:val="00A827DA"/>
    <w:rsid w:val="00A84031"/>
    <w:rsid w:val="00A844BB"/>
    <w:rsid w:val="00A84C21"/>
    <w:rsid w:val="00A85FC7"/>
    <w:rsid w:val="00A90D79"/>
    <w:rsid w:val="00A92F1E"/>
    <w:rsid w:val="00A93859"/>
    <w:rsid w:val="00A949D2"/>
    <w:rsid w:val="00A97FEC"/>
    <w:rsid w:val="00AA0B1F"/>
    <w:rsid w:val="00AA1004"/>
    <w:rsid w:val="00AA2408"/>
    <w:rsid w:val="00AA3B6D"/>
    <w:rsid w:val="00AA785F"/>
    <w:rsid w:val="00AB0918"/>
    <w:rsid w:val="00AB1878"/>
    <w:rsid w:val="00AB31E4"/>
    <w:rsid w:val="00AB4832"/>
    <w:rsid w:val="00AB5065"/>
    <w:rsid w:val="00AB5710"/>
    <w:rsid w:val="00AB5E48"/>
    <w:rsid w:val="00AC346A"/>
    <w:rsid w:val="00AC3670"/>
    <w:rsid w:val="00AC61EF"/>
    <w:rsid w:val="00AC7CC4"/>
    <w:rsid w:val="00AD13CC"/>
    <w:rsid w:val="00AD504E"/>
    <w:rsid w:val="00AD5CD0"/>
    <w:rsid w:val="00AD6DA4"/>
    <w:rsid w:val="00AE0659"/>
    <w:rsid w:val="00AE1541"/>
    <w:rsid w:val="00AE34E4"/>
    <w:rsid w:val="00AE3534"/>
    <w:rsid w:val="00AE46D1"/>
    <w:rsid w:val="00AE6E92"/>
    <w:rsid w:val="00AF0044"/>
    <w:rsid w:val="00AF0900"/>
    <w:rsid w:val="00AF11A3"/>
    <w:rsid w:val="00AF20AC"/>
    <w:rsid w:val="00AF2CBF"/>
    <w:rsid w:val="00AF457F"/>
    <w:rsid w:val="00AF46BA"/>
    <w:rsid w:val="00AF5EE3"/>
    <w:rsid w:val="00AF6401"/>
    <w:rsid w:val="00B0308E"/>
    <w:rsid w:val="00B035F5"/>
    <w:rsid w:val="00B03D59"/>
    <w:rsid w:val="00B14FEC"/>
    <w:rsid w:val="00B15CF7"/>
    <w:rsid w:val="00B175C6"/>
    <w:rsid w:val="00B2188D"/>
    <w:rsid w:val="00B2301D"/>
    <w:rsid w:val="00B25FA9"/>
    <w:rsid w:val="00B27B03"/>
    <w:rsid w:val="00B3293A"/>
    <w:rsid w:val="00B35677"/>
    <w:rsid w:val="00B376FF"/>
    <w:rsid w:val="00B378B7"/>
    <w:rsid w:val="00B40372"/>
    <w:rsid w:val="00B4154F"/>
    <w:rsid w:val="00B418E5"/>
    <w:rsid w:val="00B452DF"/>
    <w:rsid w:val="00B46FA9"/>
    <w:rsid w:val="00B47EEA"/>
    <w:rsid w:val="00B524E1"/>
    <w:rsid w:val="00B620A2"/>
    <w:rsid w:val="00B62FE8"/>
    <w:rsid w:val="00B75D7A"/>
    <w:rsid w:val="00B818C3"/>
    <w:rsid w:val="00B849E7"/>
    <w:rsid w:val="00B84C3C"/>
    <w:rsid w:val="00B84CFB"/>
    <w:rsid w:val="00B909A3"/>
    <w:rsid w:val="00B93E65"/>
    <w:rsid w:val="00B94A00"/>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6108"/>
    <w:rsid w:val="00BE0141"/>
    <w:rsid w:val="00BE6BC7"/>
    <w:rsid w:val="00BE751C"/>
    <w:rsid w:val="00BF00AC"/>
    <w:rsid w:val="00BF0E91"/>
    <w:rsid w:val="00BF54C8"/>
    <w:rsid w:val="00C00911"/>
    <w:rsid w:val="00C01424"/>
    <w:rsid w:val="00C01EA0"/>
    <w:rsid w:val="00C02476"/>
    <w:rsid w:val="00C05F14"/>
    <w:rsid w:val="00C062B1"/>
    <w:rsid w:val="00C1060B"/>
    <w:rsid w:val="00C14ADF"/>
    <w:rsid w:val="00C22AFC"/>
    <w:rsid w:val="00C22FF5"/>
    <w:rsid w:val="00C23194"/>
    <w:rsid w:val="00C26A89"/>
    <w:rsid w:val="00C31E57"/>
    <w:rsid w:val="00C346A2"/>
    <w:rsid w:val="00C357D9"/>
    <w:rsid w:val="00C368E1"/>
    <w:rsid w:val="00C37521"/>
    <w:rsid w:val="00C3774E"/>
    <w:rsid w:val="00C407A4"/>
    <w:rsid w:val="00C47B94"/>
    <w:rsid w:val="00C51996"/>
    <w:rsid w:val="00C5276A"/>
    <w:rsid w:val="00C5791D"/>
    <w:rsid w:val="00C6060A"/>
    <w:rsid w:val="00C6221A"/>
    <w:rsid w:val="00C64402"/>
    <w:rsid w:val="00C739AD"/>
    <w:rsid w:val="00C74CEB"/>
    <w:rsid w:val="00C836C2"/>
    <w:rsid w:val="00C84FB9"/>
    <w:rsid w:val="00C9018B"/>
    <w:rsid w:val="00C92081"/>
    <w:rsid w:val="00C92DF6"/>
    <w:rsid w:val="00C93558"/>
    <w:rsid w:val="00C96871"/>
    <w:rsid w:val="00C97750"/>
    <w:rsid w:val="00CA40F9"/>
    <w:rsid w:val="00CA78B3"/>
    <w:rsid w:val="00CB52DE"/>
    <w:rsid w:val="00CB5E90"/>
    <w:rsid w:val="00CC18BE"/>
    <w:rsid w:val="00CC20F2"/>
    <w:rsid w:val="00CC2DBB"/>
    <w:rsid w:val="00CD1552"/>
    <w:rsid w:val="00CD1F35"/>
    <w:rsid w:val="00CE25DD"/>
    <w:rsid w:val="00CE3941"/>
    <w:rsid w:val="00CE589E"/>
    <w:rsid w:val="00CE7299"/>
    <w:rsid w:val="00CE77FD"/>
    <w:rsid w:val="00CE79C6"/>
    <w:rsid w:val="00CF62DE"/>
    <w:rsid w:val="00CF664F"/>
    <w:rsid w:val="00CF7817"/>
    <w:rsid w:val="00D04DCB"/>
    <w:rsid w:val="00D065C4"/>
    <w:rsid w:val="00D120B2"/>
    <w:rsid w:val="00D12381"/>
    <w:rsid w:val="00D13480"/>
    <w:rsid w:val="00D16993"/>
    <w:rsid w:val="00D16A17"/>
    <w:rsid w:val="00D21B73"/>
    <w:rsid w:val="00D231F6"/>
    <w:rsid w:val="00D2377A"/>
    <w:rsid w:val="00D237DE"/>
    <w:rsid w:val="00D2507C"/>
    <w:rsid w:val="00D252CA"/>
    <w:rsid w:val="00D255DB"/>
    <w:rsid w:val="00D30BA6"/>
    <w:rsid w:val="00D30CAD"/>
    <w:rsid w:val="00D365FB"/>
    <w:rsid w:val="00D3684E"/>
    <w:rsid w:val="00D373AB"/>
    <w:rsid w:val="00D37AB6"/>
    <w:rsid w:val="00D4128F"/>
    <w:rsid w:val="00D4147A"/>
    <w:rsid w:val="00D423D2"/>
    <w:rsid w:val="00D5042F"/>
    <w:rsid w:val="00D53F4E"/>
    <w:rsid w:val="00D567F2"/>
    <w:rsid w:val="00D57836"/>
    <w:rsid w:val="00D60138"/>
    <w:rsid w:val="00D613E7"/>
    <w:rsid w:val="00D62CC1"/>
    <w:rsid w:val="00D64F2A"/>
    <w:rsid w:val="00D70CE1"/>
    <w:rsid w:val="00D723BA"/>
    <w:rsid w:val="00D7550E"/>
    <w:rsid w:val="00D8201F"/>
    <w:rsid w:val="00D84A50"/>
    <w:rsid w:val="00D84D45"/>
    <w:rsid w:val="00D85949"/>
    <w:rsid w:val="00D879AC"/>
    <w:rsid w:val="00D92F85"/>
    <w:rsid w:val="00D93E97"/>
    <w:rsid w:val="00DA0205"/>
    <w:rsid w:val="00DA4E15"/>
    <w:rsid w:val="00DA5045"/>
    <w:rsid w:val="00DB1105"/>
    <w:rsid w:val="00DB2F53"/>
    <w:rsid w:val="00DB698B"/>
    <w:rsid w:val="00DC4A6C"/>
    <w:rsid w:val="00DC5992"/>
    <w:rsid w:val="00DD41C0"/>
    <w:rsid w:val="00DD4296"/>
    <w:rsid w:val="00DD531D"/>
    <w:rsid w:val="00DD5463"/>
    <w:rsid w:val="00DD7766"/>
    <w:rsid w:val="00DE1631"/>
    <w:rsid w:val="00DE1D85"/>
    <w:rsid w:val="00DE48CB"/>
    <w:rsid w:val="00DE59A6"/>
    <w:rsid w:val="00E0017B"/>
    <w:rsid w:val="00E00EB1"/>
    <w:rsid w:val="00E07EC8"/>
    <w:rsid w:val="00E11941"/>
    <w:rsid w:val="00E12A95"/>
    <w:rsid w:val="00E15218"/>
    <w:rsid w:val="00E17A69"/>
    <w:rsid w:val="00E26961"/>
    <w:rsid w:val="00E32C93"/>
    <w:rsid w:val="00E37D6B"/>
    <w:rsid w:val="00E407CF"/>
    <w:rsid w:val="00E422DB"/>
    <w:rsid w:val="00E42C37"/>
    <w:rsid w:val="00E42F4C"/>
    <w:rsid w:val="00E44402"/>
    <w:rsid w:val="00E44F2B"/>
    <w:rsid w:val="00E4625D"/>
    <w:rsid w:val="00E462B5"/>
    <w:rsid w:val="00E50908"/>
    <w:rsid w:val="00E53989"/>
    <w:rsid w:val="00E54A8D"/>
    <w:rsid w:val="00E553D9"/>
    <w:rsid w:val="00E6113B"/>
    <w:rsid w:val="00E637A5"/>
    <w:rsid w:val="00E637B0"/>
    <w:rsid w:val="00E662BD"/>
    <w:rsid w:val="00E663D9"/>
    <w:rsid w:val="00E67EC7"/>
    <w:rsid w:val="00E724E3"/>
    <w:rsid w:val="00E7799D"/>
    <w:rsid w:val="00E80538"/>
    <w:rsid w:val="00E83236"/>
    <w:rsid w:val="00E906CF"/>
    <w:rsid w:val="00E91673"/>
    <w:rsid w:val="00E9180C"/>
    <w:rsid w:val="00E95BB4"/>
    <w:rsid w:val="00E962EA"/>
    <w:rsid w:val="00EA091E"/>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3CF4"/>
    <w:rsid w:val="00EF3EAA"/>
    <w:rsid w:val="00EF4955"/>
    <w:rsid w:val="00F021B4"/>
    <w:rsid w:val="00F07054"/>
    <w:rsid w:val="00F074FB"/>
    <w:rsid w:val="00F123F5"/>
    <w:rsid w:val="00F12F30"/>
    <w:rsid w:val="00F13E6E"/>
    <w:rsid w:val="00F15372"/>
    <w:rsid w:val="00F160F5"/>
    <w:rsid w:val="00F166D1"/>
    <w:rsid w:val="00F22D68"/>
    <w:rsid w:val="00F23666"/>
    <w:rsid w:val="00F273AA"/>
    <w:rsid w:val="00F313F1"/>
    <w:rsid w:val="00F32113"/>
    <w:rsid w:val="00F3219B"/>
    <w:rsid w:val="00F32B87"/>
    <w:rsid w:val="00F430C1"/>
    <w:rsid w:val="00F46473"/>
    <w:rsid w:val="00F46955"/>
    <w:rsid w:val="00F60D7F"/>
    <w:rsid w:val="00F6273B"/>
    <w:rsid w:val="00F63384"/>
    <w:rsid w:val="00F64B9B"/>
    <w:rsid w:val="00F66A54"/>
    <w:rsid w:val="00F6787C"/>
    <w:rsid w:val="00F73550"/>
    <w:rsid w:val="00F73BCA"/>
    <w:rsid w:val="00F73ECA"/>
    <w:rsid w:val="00F74C4B"/>
    <w:rsid w:val="00F7501A"/>
    <w:rsid w:val="00F76B3F"/>
    <w:rsid w:val="00F77951"/>
    <w:rsid w:val="00F810BF"/>
    <w:rsid w:val="00F868A0"/>
    <w:rsid w:val="00F91C01"/>
    <w:rsid w:val="00F93892"/>
    <w:rsid w:val="00F9790F"/>
    <w:rsid w:val="00FA06CF"/>
    <w:rsid w:val="00FA2F87"/>
    <w:rsid w:val="00FA3DBD"/>
    <w:rsid w:val="00FA6F19"/>
    <w:rsid w:val="00FB0A87"/>
    <w:rsid w:val="00FB106F"/>
    <w:rsid w:val="00FB3F06"/>
    <w:rsid w:val="00FB51FE"/>
    <w:rsid w:val="00FB6946"/>
    <w:rsid w:val="00FB7670"/>
    <w:rsid w:val="00FB7841"/>
    <w:rsid w:val="00FC5574"/>
    <w:rsid w:val="00FC6EFD"/>
    <w:rsid w:val="00FD0846"/>
    <w:rsid w:val="00FD4547"/>
    <w:rsid w:val="00FD523E"/>
    <w:rsid w:val="00FD6DE6"/>
    <w:rsid w:val="00FD7296"/>
    <w:rsid w:val="00FE0CD4"/>
    <w:rsid w:val="00FE0E31"/>
    <w:rsid w:val="00FE1734"/>
    <w:rsid w:val="00FE22CD"/>
    <w:rsid w:val="00FE5BE6"/>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7</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846</cp:revision>
  <dcterms:created xsi:type="dcterms:W3CDTF">2023-02-27T19:43:00Z</dcterms:created>
  <dcterms:modified xsi:type="dcterms:W3CDTF">2024-03-20T03:51:00Z</dcterms:modified>
</cp:coreProperties>
</file>