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2750" w14:textId="77777777" w:rsidR="00CD520C" w:rsidRDefault="00CD520C" w:rsidP="00CD520C">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 Habitat Loss and System Capacity</w:t>
      </w:r>
    </w:p>
    <w:p w14:paraId="33565904" w14:textId="4A372601" w:rsidR="00C90270" w:rsidRDefault="006704BF" w:rsidP="00184791">
      <w:pPr>
        <w:pStyle w:val="Heading1"/>
        <w:spacing w:before="0" w:line="240" w:lineRule="auto"/>
        <w:rPr>
          <w:rFonts w:ascii="Segoe UI" w:hAnsi="Segoe UI" w:cs="Segoe UI"/>
          <w:u w:val="single"/>
        </w:rPr>
      </w:pPr>
      <w:r>
        <w:rPr>
          <w:noProof/>
        </w:rPr>
        <w:drawing>
          <wp:anchor distT="0" distB="0" distL="114300" distR="114300" simplePos="0" relativeHeight="251658240" behindDoc="0" locked="0" layoutInCell="1" allowOverlap="1" wp14:anchorId="37F1C8E6" wp14:editId="575E62E2">
            <wp:simplePos x="0" y="0"/>
            <wp:positionH relativeFrom="column">
              <wp:posOffset>3343275</wp:posOffset>
            </wp:positionH>
            <wp:positionV relativeFrom="paragraph">
              <wp:posOffset>132715</wp:posOffset>
            </wp:positionV>
            <wp:extent cx="3209544" cy="1828800"/>
            <wp:effectExtent l="0" t="0" r="10160" b="0"/>
            <wp:wrapNone/>
            <wp:docPr id="3" name="Chart 3">
              <a:extLst xmlns:a="http://schemas.openxmlformats.org/drawingml/2006/main">
                <a:ext uri="{FF2B5EF4-FFF2-40B4-BE49-F238E27FC236}">
                  <a16:creationId xmlns:a16="http://schemas.microsoft.com/office/drawing/2014/main" id="{00000000-0008-0000-0F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83BB4E0" w14:textId="5730EC1B" w:rsidR="00EB6B10" w:rsidRPr="00CF28D0" w:rsidRDefault="00D065C4" w:rsidP="00956BD2">
      <w:pPr>
        <w:pStyle w:val="Heading1"/>
        <w:spacing w:before="0" w:line="240" w:lineRule="auto"/>
        <w:rPr>
          <w:rFonts w:eastAsiaTheme="minorEastAsia" w:cstheme="majorHAnsi"/>
          <w:color w:val="auto"/>
          <w:sz w:val="28"/>
          <w:szCs w:val="28"/>
        </w:rPr>
      </w:pPr>
      <w:r w:rsidRPr="00A0609C">
        <w:rPr>
          <w:rStyle w:val="Heading2Char"/>
          <w:rFonts w:ascii="Open Sans SemiBold" w:hAnsi="Open Sans SemiBold" w:cs="Open Sans SemiBold"/>
          <w:b w:val="0"/>
          <w:bCs w:val="0"/>
          <w:sz w:val="28"/>
          <w:szCs w:val="28"/>
        </w:rPr>
        <w:t>Stressor:</w:t>
      </w:r>
      <w:r w:rsidRPr="00A0609C">
        <w:rPr>
          <w:rFonts w:ascii="Open Sans SemiBold" w:hAnsi="Open Sans SemiBold" w:cs="Open Sans SemiBold"/>
          <w:b/>
          <w:bCs/>
          <w:sz w:val="28"/>
          <w:szCs w:val="28"/>
        </w:rPr>
        <w:t xml:space="preserve"> </w:t>
      </w:r>
      <w:r w:rsidR="0014770C" w:rsidRPr="00A0609C">
        <w:rPr>
          <w:rFonts w:ascii="Open Sans" w:eastAsiaTheme="minorEastAsia" w:hAnsi="Open Sans" w:cs="Open Sans"/>
          <w:color w:val="auto"/>
          <w:sz w:val="24"/>
          <w:szCs w:val="24"/>
        </w:rPr>
        <w:t>Habitat loss (%)</w:t>
      </w:r>
    </w:p>
    <w:p w14:paraId="0900241B" w14:textId="77777777" w:rsidR="0069394F" w:rsidRPr="00CF28D0" w:rsidRDefault="0069394F" w:rsidP="00956BD2">
      <w:pPr>
        <w:pStyle w:val="Heading1"/>
        <w:spacing w:before="0" w:line="240" w:lineRule="auto"/>
        <w:rPr>
          <w:rFonts w:cstheme="majorHAnsi"/>
          <w:u w:val="single"/>
        </w:rPr>
      </w:pPr>
    </w:p>
    <w:p w14:paraId="11860792" w14:textId="04C5CD1F" w:rsidR="00041823" w:rsidRDefault="00041823" w:rsidP="00956BD2">
      <w:pPr>
        <w:pStyle w:val="Heading1"/>
        <w:spacing w:before="0" w:line="240" w:lineRule="auto"/>
        <w:rPr>
          <w:rFonts w:cstheme="majorHAnsi"/>
          <w:color w:val="auto"/>
          <w:sz w:val="28"/>
          <w:szCs w:val="28"/>
        </w:rPr>
      </w:pPr>
      <w:r w:rsidRPr="00A0609C">
        <w:rPr>
          <w:rStyle w:val="Heading2Char"/>
          <w:rFonts w:ascii="Open Sans SemiBold" w:hAnsi="Open Sans SemiBold" w:cs="Open Sans SemiBold"/>
          <w:b w:val="0"/>
          <w:bCs w:val="0"/>
          <w:sz w:val="28"/>
          <w:szCs w:val="28"/>
        </w:rPr>
        <w:t>Response:</w:t>
      </w:r>
      <w:r w:rsidRPr="00A0609C">
        <w:rPr>
          <w:rFonts w:ascii="Open Sans SemiBold" w:hAnsi="Open Sans SemiBold" w:cs="Open Sans SemiBold"/>
          <w:b/>
          <w:bCs/>
          <w:sz w:val="28"/>
          <w:szCs w:val="28"/>
        </w:rPr>
        <w:t xml:space="preserve"> </w:t>
      </w:r>
      <w:r w:rsidR="00064DDD" w:rsidRPr="00A0609C">
        <w:rPr>
          <w:rFonts w:ascii="Open Sans" w:hAnsi="Open Sans" w:cs="Open Sans"/>
          <w:color w:val="auto"/>
          <w:sz w:val="24"/>
          <w:szCs w:val="24"/>
        </w:rPr>
        <w:t>System Capacity (</w:t>
      </w:r>
      <w:r w:rsidR="00FB7841" w:rsidRPr="00A0609C">
        <w:rPr>
          <w:rFonts w:ascii="Open Sans" w:hAnsi="Open Sans" w:cs="Open Sans"/>
          <w:color w:val="auto"/>
          <w:sz w:val="24"/>
          <w:szCs w:val="24"/>
        </w:rPr>
        <w:t>%)</w:t>
      </w:r>
    </w:p>
    <w:p w14:paraId="6F5A4A1C" w14:textId="77777777" w:rsidR="0047317E" w:rsidRDefault="0047317E" w:rsidP="0047317E"/>
    <w:p w14:paraId="36734DE9" w14:textId="77777777" w:rsidR="0047317E" w:rsidRPr="00A0609C" w:rsidRDefault="0047317E" w:rsidP="0047317E">
      <w:pPr>
        <w:pStyle w:val="Heading1"/>
        <w:spacing w:before="0" w:line="240" w:lineRule="auto"/>
        <w:rPr>
          <w:rFonts w:ascii="Open Sans" w:hAnsi="Open Sans" w:cs="Open Sans"/>
          <w:color w:val="auto"/>
          <w:sz w:val="24"/>
          <w:szCs w:val="24"/>
        </w:rPr>
      </w:pPr>
      <w:r w:rsidRPr="00A0609C">
        <w:rPr>
          <w:rStyle w:val="Heading2Char"/>
          <w:rFonts w:ascii="Open Sans SemiBold" w:hAnsi="Open Sans SemiBold" w:cs="Open Sans SemiBold"/>
          <w:b w:val="0"/>
          <w:bCs w:val="0"/>
          <w:sz w:val="28"/>
          <w:szCs w:val="28"/>
        </w:rPr>
        <w:t>Species:</w:t>
      </w:r>
      <w:r w:rsidRPr="00A0609C">
        <w:rPr>
          <w:rFonts w:ascii="Open Sans SemiBold" w:hAnsi="Open Sans SemiBold" w:cs="Open Sans SemiBold"/>
          <w:b/>
          <w:bCs/>
          <w:sz w:val="28"/>
          <w:szCs w:val="28"/>
        </w:rPr>
        <w:t xml:space="preserve"> </w:t>
      </w:r>
      <w:r w:rsidRPr="00A0609C">
        <w:rPr>
          <w:rFonts w:ascii="Open Sans" w:hAnsi="Open Sans" w:cs="Open Sans"/>
          <w:color w:val="auto"/>
          <w:sz w:val="24"/>
          <w:szCs w:val="24"/>
        </w:rPr>
        <w:t>Plains Sucker (</w:t>
      </w:r>
      <w:r w:rsidRPr="00A0609C">
        <w:rPr>
          <w:rFonts w:ascii="Open Sans" w:hAnsi="Open Sans" w:cs="Open Sans"/>
          <w:i/>
          <w:iCs/>
          <w:color w:val="auto"/>
          <w:sz w:val="24"/>
          <w:szCs w:val="24"/>
        </w:rPr>
        <w:t>Pantosteus jordani</w:t>
      </w:r>
      <w:r w:rsidRPr="00A0609C">
        <w:rPr>
          <w:rFonts w:ascii="Open Sans" w:hAnsi="Open Sans" w:cs="Open Sans"/>
          <w:color w:val="auto"/>
          <w:sz w:val="24"/>
          <w:szCs w:val="24"/>
        </w:rPr>
        <w:t>)</w:t>
      </w:r>
    </w:p>
    <w:p w14:paraId="7767C476" w14:textId="77777777" w:rsidR="0069394F" w:rsidRPr="00CF28D0" w:rsidRDefault="0069394F" w:rsidP="0069394F">
      <w:pPr>
        <w:rPr>
          <w:rFonts w:asciiTheme="majorHAnsi" w:hAnsiTheme="majorHAnsi" w:cstheme="majorHAnsi"/>
        </w:rPr>
      </w:pPr>
    </w:p>
    <w:p w14:paraId="3B2DFFF9" w14:textId="7A6FBED3" w:rsidR="00887B95" w:rsidRPr="00A0609C" w:rsidRDefault="00887B95" w:rsidP="00956BD2">
      <w:pPr>
        <w:pStyle w:val="Heading1"/>
        <w:spacing w:before="0" w:line="240" w:lineRule="auto"/>
        <w:rPr>
          <w:rFonts w:ascii="Open Sans" w:hAnsi="Open Sans" w:cs="Open Sans"/>
          <w:color w:val="auto"/>
          <w:sz w:val="24"/>
          <w:szCs w:val="24"/>
        </w:rPr>
      </w:pPr>
      <w:r w:rsidRPr="00A0609C">
        <w:rPr>
          <w:rStyle w:val="Heading2Char"/>
          <w:rFonts w:ascii="Open Sans SemiBold" w:hAnsi="Open Sans SemiBold" w:cs="Open Sans SemiBold"/>
          <w:b w:val="0"/>
          <w:bCs w:val="0"/>
          <w:sz w:val="28"/>
          <w:szCs w:val="28"/>
        </w:rPr>
        <w:t>Life Stage:</w:t>
      </w:r>
      <w:r w:rsidRPr="00A0609C">
        <w:rPr>
          <w:rFonts w:ascii="Open Sans SemiBold" w:hAnsi="Open Sans SemiBold" w:cs="Open Sans SemiBold"/>
          <w:b/>
          <w:bCs/>
          <w:sz w:val="28"/>
          <w:szCs w:val="28"/>
        </w:rPr>
        <w:t xml:space="preserve"> </w:t>
      </w:r>
      <w:r w:rsidR="00AB31E4" w:rsidRPr="00A0609C">
        <w:rPr>
          <w:rFonts w:ascii="Open Sans" w:hAnsi="Open Sans" w:cs="Open Sans"/>
          <w:color w:val="auto"/>
          <w:sz w:val="24"/>
          <w:szCs w:val="24"/>
        </w:rPr>
        <w:t>adul</w:t>
      </w:r>
      <w:r w:rsidR="00A97FEC" w:rsidRPr="00A0609C">
        <w:rPr>
          <w:rFonts w:ascii="Open Sans" w:hAnsi="Open Sans" w:cs="Open Sans"/>
          <w:color w:val="auto"/>
          <w:sz w:val="24"/>
          <w:szCs w:val="24"/>
        </w:rPr>
        <w:t>t</w:t>
      </w:r>
    </w:p>
    <w:p w14:paraId="185F5DB0" w14:textId="77777777" w:rsidR="0069394F" w:rsidRPr="00CF28D0" w:rsidRDefault="0069394F" w:rsidP="0069394F">
      <w:pPr>
        <w:rPr>
          <w:rFonts w:asciiTheme="majorHAnsi" w:hAnsiTheme="majorHAnsi" w:cstheme="majorHAnsi"/>
        </w:rPr>
      </w:pPr>
    </w:p>
    <w:p w14:paraId="6C9218E0" w14:textId="3550189F" w:rsidR="00EE401F" w:rsidRPr="00CF28D0" w:rsidRDefault="0047317E" w:rsidP="00956BD2">
      <w:pPr>
        <w:pStyle w:val="Heading1"/>
        <w:spacing w:before="0" w:line="240" w:lineRule="auto"/>
        <w:rPr>
          <w:rFonts w:cstheme="majorHAnsi"/>
          <w:color w:val="auto"/>
          <w:sz w:val="28"/>
          <w:szCs w:val="28"/>
        </w:rPr>
      </w:pPr>
      <w:r w:rsidRPr="00A0609C">
        <w:rPr>
          <w:rStyle w:val="Heading2Char"/>
          <w:rFonts w:ascii="Open Sans SemiBold" w:hAnsi="Open Sans SemiBold" w:cs="Open Sans SemiBold"/>
          <w:b w:val="0"/>
          <w:bCs w:val="0"/>
          <w:sz w:val="28"/>
          <w:szCs w:val="28"/>
        </w:rPr>
        <w:t>System</w:t>
      </w:r>
      <w:r w:rsidR="00D065C4" w:rsidRPr="00A0609C">
        <w:rPr>
          <w:rStyle w:val="Heading2Char"/>
          <w:rFonts w:ascii="Open Sans SemiBold" w:hAnsi="Open Sans SemiBold" w:cs="Open Sans SemiBold"/>
          <w:b w:val="0"/>
          <w:bCs w:val="0"/>
          <w:sz w:val="28"/>
          <w:szCs w:val="28"/>
        </w:rPr>
        <w:t>:</w:t>
      </w:r>
      <w:r w:rsidR="00D065C4" w:rsidRPr="00A0609C">
        <w:rPr>
          <w:rFonts w:ascii="Open Sans SemiBold" w:hAnsi="Open Sans SemiBold" w:cs="Open Sans SemiBold"/>
          <w:b/>
          <w:bCs/>
          <w:sz w:val="28"/>
          <w:szCs w:val="28"/>
        </w:rPr>
        <w:t xml:space="preserve"> </w:t>
      </w:r>
      <w:r w:rsidRPr="00A0609C">
        <w:rPr>
          <w:rFonts w:ascii="Open Sans" w:hAnsi="Open Sans" w:cs="Open Sans"/>
          <w:color w:val="auto"/>
          <w:sz w:val="24"/>
          <w:szCs w:val="24"/>
        </w:rPr>
        <w:t>Saskatchewan</w:t>
      </w:r>
    </w:p>
    <w:p w14:paraId="5027EAC1" w14:textId="77777777" w:rsidR="005A3D46" w:rsidRPr="00CF28D0" w:rsidRDefault="005A3D46" w:rsidP="005A3D46">
      <w:pPr>
        <w:rPr>
          <w:rFonts w:asciiTheme="majorHAnsi" w:hAnsiTheme="majorHAnsi" w:cstheme="majorHAnsi"/>
        </w:rPr>
      </w:pPr>
    </w:p>
    <w:p w14:paraId="6946D473" w14:textId="7A73073F" w:rsidR="00164660" w:rsidRPr="00A0609C" w:rsidRDefault="00E17A69" w:rsidP="00956BD2">
      <w:pPr>
        <w:pStyle w:val="Heading1"/>
        <w:spacing w:before="0" w:line="240" w:lineRule="auto"/>
        <w:rPr>
          <w:rFonts w:ascii="Open Sans" w:hAnsi="Open Sans" w:cs="Open Sans"/>
          <w:color w:val="auto"/>
          <w:sz w:val="24"/>
          <w:szCs w:val="24"/>
        </w:rPr>
      </w:pPr>
      <w:r w:rsidRPr="00A0609C">
        <w:rPr>
          <w:rStyle w:val="Heading2Char"/>
          <w:rFonts w:ascii="Open Sans SemiBold" w:hAnsi="Open Sans SemiBold" w:cs="Open Sans SemiBold"/>
          <w:b w:val="0"/>
          <w:bCs w:val="0"/>
          <w:sz w:val="28"/>
          <w:szCs w:val="28"/>
        </w:rPr>
        <w:t>Function</w:t>
      </w:r>
      <w:r w:rsidR="00732433" w:rsidRPr="00A0609C">
        <w:rPr>
          <w:rStyle w:val="Heading2Char"/>
          <w:rFonts w:ascii="Open Sans SemiBold" w:hAnsi="Open Sans SemiBold" w:cs="Open Sans SemiBold"/>
          <w:b w:val="0"/>
          <w:bCs w:val="0"/>
          <w:sz w:val="28"/>
          <w:szCs w:val="28"/>
        </w:rPr>
        <w:t xml:space="preserve"> Derivation</w:t>
      </w:r>
      <w:r w:rsidR="00041020" w:rsidRPr="00A0609C">
        <w:rPr>
          <w:rStyle w:val="Heading2Char"/>
          <w:rFonts w:ascii="Open Sans SemiBold" w:hAnsi="Open Sans SemiBold" w:cs="Open Sans SemiBold"/>
          <w:b w:val="0"/>
          <w:bCs w:val="0"/>
          <w:sz w:val="28"/>
          <w:szCs w:val="28"/>
        </w:rPr>
        <w:t>:</w:t>
      </w:r>
      <w:r w:rsidR="00041020" w:rsidRPr="00A0609C">
        <w:rPr>
          <w:rFonts w:ascii="Open Sans SemiBold" w:hAnsi="Open Sans SemiBold" w:cs="Open Sans SemiBold"/>
          <w:b/>
          <w:bCs/>
          <w:sz w:val="28"/>
          <w:szCs w:val="28"/>
        </w:rPr>
        <w:t xml:space="preserve"> </w:t>
      </w:r>
      <w:r w:rsidR="00041020" w:rsidRPr="00A0609C">
        <w:rPr>
          <w:rFonts w:ascii="Open Sans" w:hAnsi="Open Sans" w:cs="Open Sans"/>
          <w:color w:val="auto"/>
          <w:sz w:val="24"/>
          <w:szCs w:val="24"/>
        </w:rPr>
        <w:t xml:space="preserve">expert </w:t>
      </w:r>
      <w:r w:rsidR="008A6066" w:rsidRPr="00A0609C">
        <w:rPr>
          <w:rFonts w:ascii="Open Sans" w:hAnsi="Open Sans" w:cs="Open Sans"/>
          <w:color w:val="auto"/>
          <w:sz w:val="24"/>
          <w:szCs w:val="24"/>
        </w:rPr>
        <w:t>judgement</w:t>
      </w:r>
    </w:p>
    <w:p w14:paraId="2BD11500" w14:textId="77777777" w:rsidR="005A3D46" w:rsidRPr="00CF28D0" w:rsidRDefault="005A3D46" w:rsidP="005A3D46">
      <w:pPr>
        <w:rPr>
          <w:rFonts w:asciiTheme="majorHAnsi" w:hAnsiTheme="majorHAnsi" w:cstheme="majorHAnsi"/>
        </w:rPr>
      </w:pPr>
    </w:p>
    <w:p w14:paraId="35F51EAE" w14:textId="52F8EA09" w:rsidR="00A00EFF" w:rsidRPr="00A0609C" w:rsidRDefault="2132BD40" w:rsidP="009A098A">
      <w:pPr>
        <w:widowControl w:val="0"/>
        <w:spacing w:line="240" w:lineRule="auto"/>
        <w:jc w:val="both"/>
        <w:rPr>
          <w:rFonts w:ascii="Open Sans" w:hAnsi="Open Sans" w:cs="Open Sans"/>
          <w:sz w:val="24"/>
          <w:szCs w:val="24"/>
        </w:rPr>
      </w:pPr>
      <w:r w:rsidRPr="00A0609C">
        <w:rPr>
          <w:rStyle w:val="Heading2Char"/>
          <w:rFonts w:ascii="Open Sans SemiBold" w:hAnsi="Open Sans SemiBold" w:cs="Open Sans SemiBold"/>
          <w:b w:val="0"/>
          <w:bCs w:val="0"/>
          <w:sz w:val="28"/>
          <w:szCs w:val="28"/>
        </w:rPr>
        <w:t>Transferability of Function:</w:t>
      </w:r>
      <w:r w:rsidRPr="00A0609C">
        <w:rPr>
          <w:rFonts w:ascii="Open Sans SemiBold" w:hAnsi="Open Sans SemiBold" w:cs="Open Sans SemiBold"/>
          <w:b/>
          <w:bCs/>
          <w:sz w:val="28"/>
          <w:szCs w:val="28"/>
        </w:rPr>
        <w:t xml:space="preserve"> </w:t>
      </w:r>
      <w:r w:rsidR="37B9B586" w:rsidRPr="00A0609C">
        <w:rPr>
          <w:rFonts w:ascii="Open Sans" w:eastAsia="Calibri Light" w:hAnsi="Open Sans" w:cs="Open Sans"/>
          <w:color w:val="000000" w:themeColor="text1"/>
          <w:sz w:val="24"/>
          <w:szCs w:val="24"/>
        </w:rPr>
        <w:t>This</w:t>
      </w:r>
      <w:r w:rsidR="37B9B586" w:rsidRPr="00A0609C">
        <w:rPr>
          <w:rFonts w:ascii="Open Sans" w:eastAsia="Calibri Light" w:hAnsi="Open Sans" w:cs="Open Sans"/>
          <w:b/>
          <w:bCs/>
          <w:color w:val="000000" w:themeColor="text1"/>
          <w:sz w:val="24"/>
          <w:szCs w:val="24"/>
        </w:rPr>
        <w:t xml:space="preserve"> </w:t>
      </w:r>
      <w:r w:rsidR="37B9B586" w:rsidRPr="00A0609C">
        <w:rPr>
          <w:rFonts w:ascii="Open Sans" w:eastAsia="Calibri Light" w:hAnsi="Open Sans" w:cs="Open Sans"/>
          <w:color w:val="000000" w:themeColor="text1"/>
          <w:sz w:val="24"/>
          <w:szCs w:val="24"/>
        </w:rPr>
        <w:t xml:space="preserve">stressor-response function is suitable for use on Plains Sucker populations in the Saskatchewan-Nelson and Missouri River drainages in Southern Alberta and Saskatchewan. It may be reasonable to assume the SR function can be applied to Cordilleran Sucker, given the similarity of their physical characteristics (prior to 2023 both species were classified under a single species, Mountain Sucker); however, there is no data to confirm this assumption. </w:t>
      </w:r>
      <w:r w:rsidR="67FD64F3" w:rsidRPr="00A0609C">
        <w:rPr>
          <w:rFonts w:ascii="Open Sans" w:eastAsia="Calibri Light" w:hAnsi="Open Sans" w:cs="Open Sans"/>
          <w:color w:val="000000" w:themeColor="text1"/>
          <w:sz w:val="24"/>
          <w:szCs w:val="24"/>
        </w:rPr>
        <w:t>Therefore, m</w:t>
      </w:r>
      <w:r w:rsidR="37B9B586" w:rsidRPr="00A0609C">
        <w:rPr>
          <w:rFonts w:ascii="Open Sans" w:eastAsia="Calibri Light" w:hAnsi="Open Sans" w:cs="Open Sans"/>
          <w:color w:val="000000" w:themeColor="text1"/>
          <w:sz w:val="24"/>
          <w:szCs w:val="24"/>
        </w:rPr>
        <w:t>ore data is required and caution should be taken when using this function on other species.</w:t>
      </w:r>
    </w:p>
    <w:p w14:paraId="448496A4" w14:textId="412B4137" w:rsidR="00DC501C" w:rsidRPr="00DC501C" w:rsidRDefault="00DC501C" w:rsidP="00C528A6">
      <w:pPr>
        <w:pStyle w:val="Heading1"/>
        <w:spacing w:before="0" w:line="240" w:lineRule="auto"/>
      </w:pPr>
    </w:p>
    <w:p w14:paraId="155FF4D5" w14:textId="1C28445C" w:rsidR="00501180" w:rsidRDefault="00501180" w:rsidP="00EA23D9">
      <w:pPr>
        <w:rPr>
          <w:rFonts w:ascii="Segoe UI" w:eastAsiaTheme="majorEastAsia" w:hAnsi="Segoe UI" w:cs="Segoe UI"/>
          <w:color w:val="2F5496" w:themeColor="accent1" w:themeShade="BF"/>
          <w:sz w:val="28"/>
          <w:szCs w:val="28"/>
        </w:rPr>
      </w:pPr>
    </w:p>
    <w:p w14:paraId="67B3FC8A" w14:textId="77777777" w:rsidR="00C14296" w:rsidRDefault="00C14296">
      <w:pPr>
        <w:rPr>
          <w:rFonts w:ascii="Segoe UI" w:eastAsiaTheme="majorEastAsia" w:hAnsi="Segoe UI" w:cs="Segoe UI"/>
          <w:color w:val="2F5496" w:themeColor="accent1" w:themeShade="BF"/>
          <w:sz w:val="28"/>
          <w:szCs w:val="28"/>
        </w:rPr>
      </w:pPr>
      <w:r>
        <w:rPr>
          <w:rFonts w:ascii="Segoe UI" w:hAnsi="Segoe UI" w:cs="Segoe UI"/>
        </w:rPr>
        <w:br w:type="page"/>
      </w:r>
    </w:p>
    <w:p w14:paraId="5FA31ACB" w14:textId="77777777" w:rsidR="00DC375D" w:rsidRPr="00B72B89" w:rsidRDefault="00DC375D" w:rsidP="00DC375D">
      <w:pPr>
        <w:pStyle w:val="Heading1"/>
        <w:spacing w:before="0" w:line="240" w:lineRule="auto"/>
        <w:rPr>
          <w:rFonts w:ascii="Open Sans SemiBold" w:hAnsi="Open Sans SemiBold" w:cs="Open Sans SemiBold"/>
          <w:color w:val="004848"/>
        </w:rPr>
      </w:pPr>
      <w:r w:rsidRPr="00B72B89">
        <w:rPr>
          <w:rFonts w:ascii="Open Sans SemiBold" w:hAnsi="Open Sans SemiBold" w:cs="Open Sans SemiBold"/>
          <w:color w:val="004848"/>
        </w:rPr>
        <w:lastRenderedPageBreak/>
        <w:t>Detailed SR Function Description</w:t>
      </w:r>
    </w:p>
    <w:p w14:paraId="662CDA1B" w14:textId="77777777" w:rsidR="00F9302D" w:rsidRPr="00F9302D" w:rsidRDefault="00F9302D" w:rsidP="00F9302D"/>
    <w:p w14:paraId="19BD6AE4" w14:textId="77777777" w:rsidR="00F9302D" w:rsidRPr="00F9302D" w:rsidRDefault="00F9302D" w:rsidP="00F9302D">
      <w:pPr>
        <w:widowControl w:val="0"/>
        <w:spacing w:after="0" w:line="240" w:lineRule="auto"/>
        <w:outlineLvl w:val="1"/>
        <w:rPr>
          <w:rFonts w:ascii="Open Sans SemiBold" w:eastAsiaTheme="majorEastAsia" w:hAnsi="Open Sans SemiBold" w:cs="Open Sans SemiBold"/>
          <w:color w:val="2F5496" w:themeColor="accent1" w:themeShade="BF"/>
          <w:sz w:val="28"/>
          <w:szCs w:val="28"/>
          <w:u w:val="single"/>
        </w:rPr>
      </w:pPr>
      <w:r w:rsidRPr="00F9302D">
        <w:rPr>
          <w:rFonts w:ascii="Open Sans SemiBold" w:eastAsiaTheme="majorEastAsia" w:hAnsi="Open Sans SemiBold" w:cs="Open Sans SemiBold"/>
          <w:color w:val="2F5496" w:themeColor="accent1" w:themeShade="BF"/>
          <w:sz w:val="28"/>
          <w:szCs w:val="28"/>
          <w:u w:val="single"/>
        </w:rPr>
        <w:t xml:space="preserve">Derivation of the function: </w:t>
      </w:r>
    </w:p>
    <w:p w14:paraId="3C2CA278" w14:textId="77777777" w:rsidR="00F9302D" w:rsidRDefault="00F9302D" w:rsidP="000200E1">
      <w:pPr>
        <w:pStyle w:val="Heading2"/>
        <w:rPr>
          <w:rFonts w:eastAsiaTheme="minorEastAsia"/>
          <w:b w:val="0"/>
          <w:bCs w:val="0"/>
          <w:color w:val="auto"/>
          <w:sz w:val="24"/>
          <w:szCs w:val="24"/>
          <w:u w:val="none"/>
        </w:rPr>
      </w:pPr>
    </w:p>
    <w:p w14:paraId="1A71DD40" w14:textId="0486A320" w:rsidR="001E3E09" w:rsidRPr="00812DE9" w:rsidRDefault="00BA1BF1" w:rsidP="00812DE9">
      <w:pPr>
        <w:pStyle w:val="Heading2"/>
        <w:jc w:val="both"/>
        <w:rPr>
          <w:rFonts w:ascii="Open Sans" w:eastAsiaTheme="minorEastAsia" w:hAnsi="Open Sans" w:cs="Open Sans"/>
          <w:b w:val="0"/>
          <w:bCs w:val="0"/>
          <w:color w:val="auto"/>
          <w:sz w:val="22"/>
          <w:szCs w:val="22"/>
          <w:u w:val="none"/>
        </w:rPr>
      </w:pPr>
      <w:r w:rsidRPr="00812DE9">
        <w:rPr>
          <w:rFonts w:ascii="Open Sans" w:eastAsiaTheme="minorEastAsia" w:hAnsi="Open Sans" w:cs="Open Sans"/>
          <w:b w:val="0"/>
          <w:bCs w:val="0"/>
          <w:color w:val="auto"/>
          <w:sz w:val="22"/>
          <w:szCs w:val="22"/>
          <w:u w:val="none"/>
        </w:rPr>
        <w:t>Habitat loss is defined as a proportion of the total habitat that has been lost (relative to pristine or historical conditions). Habitat loss could also be the amount of habitat that has been converted to non-suitable habitat.</w:t>
      </w:r>
    </w:p>
    <w:p w14:paraId="4BE38926" w14:textId="77777777" w:rsidR="00230E39" w:rsidRDefault="00230E39" w:rsidP="00230E39"/>
    <w:p w14:paraId="22364214" w14:textId="77777777" w:rsidR="00230E39" w:rsidRDefault="00230E39" w:rsidP="00230E39">
      <w:pPr>
        <w:widowControl w:val="0"/>
        <w:spacing w:after="0" w:line="240" w:lineRule="auto"/>
        <w:outlineLvl w:val="1"/>
        <w:rPr>
          <w:rFonts w:ascii="Open Sans SemiBold" w:eastAsiaTheme="majorEastAsia" w:hAnsi="Open Sans SemiBold" w:cs="Open Sans SemiBold"/>
          <w:color w:val="2F5496" w:themeColor="accent1" w:themeShade="BF"/>
          <w:sz w:val="28"/>
          <w:szCs w:val="28"/>
          <w:u w:val="single"/>
        </w:rPr>
      </w:pPr>
      <w:r w:rsidRPr="00230E39">
        <w:rPr>
          <w:rFonts w:ascii="Open Sans SemiBold" w:eastAsiaTheme="majorEastAsia" w:hAnsi="Open Sans SemiBold" w:cs="Open Sans SemiBold"/>
          <w:color w:val="2F5496" w:themeColor="accent1" w:themeShade="BF"/>
          <w:sz w:val="28"/>
          <w:szCs w:val="28"/>
          <w:u w:val="single"/>
        </w:rPr>
        <w:t>Source of stressor data to apply the function:</w:t>
      </w:r>
    </w:p>
    <w:p w14:paraId="15156E8A" w14:textId="77777777" w:rsidR="00812DE9" w:rsidRPr="00230E39" w:rsidRDefault="00812DE9" w:rsidP="00230E39">
      <w:pPr>
        <w:widowControl w:val="0"/>
        <w:spacing w:after="0" w:line="240" w:lineRule="auto"/>
        <w:outlineLvl w:val="1"/>
        <w:rPr>
          <w:rFonts w:ascii="Open Sans SemiBold" w:eastAsiaTheme="majorEastAsia" w:hAnsi="Open Sans SemiBold" w:cs="Open Sans SemiBold"/>
          <w:color w:val="2F5496" w:themeColor="accent1" w:themeShade="BF"/>
          <w:sz w:val="28"/>
          <w:szCs w:val="28"/>
          <w:u w:val="single"/>
        </w:rPr>
      </w:pPr>
    </w:p>
    <w:p w14:paraId="78CE6CF1" w14:textId="63667A78" w:rsidR="00230E39" w:rsidRPr="00812DE9" w:rsidRDefault="00843F44" w:rsidP="00812DE9">
      <w:pPr>
        <w:jc w:val="both"/>
        <w:rPr>
          <w:rFonts w:ascii="Open Sans" w:hAnsi="Open Sans" w:cs="Open Sans"/>
        </w:rPr>
      </w:pPr>
      <w:r w:rsidRPr="00812DE9">
        <w:rPr>
          <w:rFonts w:ascii="Open Sans" w:hAnsi="Open Sans" w:cs="Open Sans"/>
          <w:color w:val="000000" w:themeColor="text1"/>
        </w:rPr>
        <w:t>Practical application of the SR function necessitates that users obtain estimates of stressor magnitude (level) in the target system. We don’t currently have data on habitat loss or biomass density data to compare pre- and post- habitat destruction.</w:t>
      </w:r>
    </w:p>
    <w:p w14:paraId="7917A95E" w14:textId="77777777" w:rsidR="001E3E09" w:rsidRDefault="001E3E09">
      <w:pPr>
        <w:rPr>
          <w:rStyle w:val="IntenseEmphasis"/>
          <w:rFonts w:ascii="Segoe UI" w:eastAsiaTheme="majorEastAsia" w:hAnsi="Segoe UI" w:cs="Segoe UI"/>
          <w:i w:val="0"/>
          <w:iCs w:val="0"/>
          <w:color w:val="2F5496" w:themeColor="accent1" w:themeShade="BF"/>
          <w:sz w:val="28"/>
          <w:szCs w:val="28"/>
        </w:rPr>
      </w:pPr>
      <w:r>
        <w:rPr>
          <w:rStyle w:val="IntenseEmphasis"/>
          <w:rFonts w:ascii="Segoe UI" w:hAnsi="Segoe UI" w:cs="Segoe UI"/>
          <w:i w:val="0"/>
          <w:iCs w:val="0"/>
          <w:color w:val="2F5496" w:themeColor="accent1" w:themeShade="BF"/>
        </w:rPr>
        <w:br w:type="page"/>
      </w:r>
    </w:p>
    <w:p w14:paraId="0174AC14" w14:textId="77777777" w:rsidR="007E1AC8" w:rsidRPr="00B72B89" w:rsidRDefault="007E1AC8" w:rsidP="007E1AC8">
      <w:pPr>
        <w:pStyle w:val="Heading1"/>
        <w:spacing w:before="0" w:line="240" w:lineRule="auto"/>
        <w:rPr>
          <w:rFonts w:ascii="Open Sans SemiBold" w:hAnsi="Open Sans SemiBold" w:cs="Open Sans SemiBold"/>
          <w:color w:val="004848"/>
        </w:rPr>
      </w:pPr>
      <w:r w:rsidRPr="00B72B89">
        <w:rPr>
          <w:rFonts w:ascii="Open Sans SemiBold" w:hAnsi="Open Sans SemiBold" w:cs="Open Sans SemiBold"/>
          <w:color w:val="004848"/>
        </w:rPr>
        <w:lastRenderedPageBreak/>
        <w:t>Stressor-Response Function</w:t>
      </w:r>
    </w:p>
    <w:p w14:paraId="15721B6C" w14:textId="77777777" w:rsidR="00EC41C5" w:rsidRPr="00EC41C5" w:rsidRDefault="00EC41C5" w:rsidP="00EC41C5"/>
    <w:p w14:paraId="3F8C0D7F" w14:textId="7944D1D3" w:rsidR="00FE22CD" w:rsidRDefault="00301F28" w:rsidP="00FE22CD">
      <w:pPr>
        <w:keepNext/>
        <w:jc w:val="center"/>
      </w:pPr>
      <w:r>
        <w:rPr>
          <w:noProof/>
        </w:rPr>
        <w:drawing>
          <wp:inline distT="0" distB="0" distL="0" distR="0" wp14:anchorId="603276F3" wp14:editId="08B4EDE8">
            <wp:extent cx="4144833" cy="2361915"/>
            <wp:effectExtent l="0" t="0" r="8255" b="635"/>
            <wp:docPr id="69123092" name="Chart 69123092">
              <a:extLst xmlns:a="http://schemas.openxmlformats.org/drawingml/2006/main">
                <a:ext uri="{FF2B5EF4-FFF2-40B4-BE49-F238E27FC236}">
                  <a16:creationId xmlns:a16="http://schemas.microsoft.com/office/drawing/2014/main" id="{00000000-0008-0000-0F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EEA2FD" w14:textId="626FEB84" w:rsidR="00FE22CD" w:rsidRDefault="00FE22CD" w:rsidP="00616F1B">
      <w:pPr>
        <w:pStyle w:val="Caption"/>
        <w:ind w:left="720" w:hanging="720"/>
        <w:jc w:val="both"/>
        <w:rPr>
          <w:rFonts w:ascii="Open Sans" w:hAnsi="Open Sans" w:cs="Open Sans"/>
          <w:i w:val="0"/>
          <w:iCs w:val="0"/>
          <w:sz w:val="22"/>
          <w:szCs w:val="22"/>
        </w:rPr>
      </w:pPr>
      <w:r w:rsidRPr="009F2F47">
        <w:rPr>
          <w:rFonts w:ascii="Open Sans" w:hAnsi="Open Sans" w:cs="Open Sans"/>
          <w:b/>
          <w:bCs/>
          <w:i w:val="0"/>
          <w:iCs w:val="0"/>
          <w:sz w:val="22"/>
          <w:szCs w:val="22"/>
        </w:rPr>
        <w:t xml:space="preserve">Figure </w:t>
      </w:r>
      <w:r w:rsidRPr="009F2F47">
        <w:rPr>
          <w:rFonts w:ascii="Open Sans" w:hAnsi="Open Sans" w:cs="Open Sans"/>
          <w:b/>
          <w:bCs/>
          <w:i w:val="0"/>
          <w:iCs w:val="0"/>
          <w:sz w:val="22"/>
          <w:szCs w:val="22"/>
        </w:rPr>
        <w:fldChar w:fldCharType="begin"/>
      </w:r>
      <w:r w:rsidRPr="009F2F47">
        <w:rPr>
          <w:rFonts w:ascii="Open Sans" w:hAnsi="Open Sans" w:cs="Open Sans"/>
          <w:b/>
          <w:bCs/>
          <w:i w:val="0"/>
          <w:iCs w:val="0"/>
          <w:sz w:val="22"/>
          <w:szCs w:val="22"/>
        </w:rPr>
        <w:instrText xml:space="preserve"> SEQ Figure \* ARABIC </w:instrText>
      </w:r>
      <w:r w:rsidRPr="009F2F47">
        <w:rPr>
          <w:rFonts w:ascii="Open Sans" w:hAnsi="Open Sans" w:cs="Open Sans"/>
          <w:b/>
          <w:bCs/>
          <w:i w:val="0"/>
          <w:iCs w:val="0"/>
          <w:sz w:val="22"/>
          <w:szCs w:val="22"/>
        </w:rPr>
        <w:fldChar w:fldCharType="separate"/>
      </w:r>
      <w:r w:rsidRPr="009F2F47">
        <w:rPr>
          <w:rFonts w:ascii="Open Sans" w:hAnsi="Open Sans" w:cs="Open Sans"/>
          <w:b/>
          <w:bCs/>
          <w:i w:val="0"/>
          <w:iCs w:val="0"/>
          <w:noProof/>
          <w:sz w:val="22"/>
          <w:szCs w:val="22"/>
        </w:rPr>
        <w:t>1</w:t>
      </w:r>
      <w:r w:rsidRPr="009F2F47">
        <w:rPr>
          <w:rFonts w:ascii="Open Sans" w:hAnsi="Open Sans" w:cs="Open Sans"/>
          <w:b/>
          <w:bCs/>
          <w:i w:val="0"/>
          <w:iCs w:val="0"/>
          <w:sz w:val="22"/>
          <w:szCs w:val="22"/>
        </w:rPr>
        <w:fldChar w:fldCharType="end"/>
      </w:r>
      <w:r w:rsidRPr="009F2F47">
        <w:rPr>
          <w:rFonts w:ascii="Open Sans" w:hAnsi="Open Sans" w:cs="Open Sans"/>
          <w:b/>
          <w:bCs/>
          <w:i w:val="0"/>
          <w:iCs w:val="0"/>
          <w:sz w:val="22"/>
          <w:szCs w:val="22"/>
        </w:rPr>
        <w:t xml:space="preserve">: </w:t>
      </w:r>
      <w:r w:rsidR="00D0472B" w:rsidRPr="009F2F47">
        <w:rPr>
          <w:rFonts w:ascii="Open Sans" w:hAnsi="Open Sans" w:cs="Open Sans"/>
          <w:i w:val="0"/>
          <w:iCs w:val="0"/>
          <w:sz w:val="22"/>
          <w:szCs w:val="22"/>
        </w:rPr>
        <w:t xml:space="preserve">Stressor-response (SR) function for </w:t>
      </w:r>
      <w:r w:rsidR="00D2524C">
        <w:rPr>
          <w:rFonts w:ascii="Open Sans" w:hAnsi="Open Sans" w:cs="Open Sans"/>
          <w:i w:val="0"/>
          <w:iCs w:val="0"/>
          <w:sz w:val="22"/>
          <w:szCs w:val="22"/>
        </w:rPr>
        <w:t>habitat loss</w:t>
      </w:r>
      <w:r w:rsidR="00D0472B" w:rsidRPr="009F2F47">
        <w:rPr>
          <w:rFonts w:ascii="Open Sans" w:hAnsi="Open Sans" w:cs="Open Sans"/>
          <w:i w:val="0"/>
          <w:iCs w:val="0"/>
          <w:sz w:val="22"/>
          <w:szCs w:val="22"/>
        </w:rPr>
        <w:t xml:space="preserve"> </w:t>
      </w:r>
      <w:r w:rsidR="005A6608">
        <w:rPr>
          <w:rFonts w:ascii="Open Sans" w:hAnsi="Open Sans" w:cs="Open Sans"/>
          <w:i w:val="0"/>
          <w:iCs w:val="0"/>
          <w:sz w:val="22"/>
          <w:szCs w:val="22"/>
        </w:rPr>
        <w:t xml:space="preserve">(%) </w:t>
      </w:r>
      <w:r w:rsidR="00D0472B" w:rsidRPr="009F2F47">
        <w:rPr>
          <w:rFonts w:ascii="Open Sans" w:hAnsi="Open Sans" w:cs="Open Sans"/>
          <w:i w:val="0"/>
          <w:iCs w:val="0"/>
          <w:sz w:val="22"/>
          <w:szCs w:val="22"/>
        </w:rPr>
        <w:t>and Plains Sucker system capacity (%).</w:t>
      </w:r>
    </w:p>
    <w:p w14:paraId="6DC71789" w14:textId="77777777" w:rsidR="00647B2F" w:rsidRPr="00647B2F" w:rsidRDefault="00647B2F" w:rsidP="00647B2F"/>
    <w:p w14:paraId="4990D4A0" w14:textId="77777777" w:rsidR="00EC41C5" w:rsidRPr="00705218" w:rsidRDefault="00EC41C5" w:rsidP="00EC41C5">
      <w:pPr>
        <w:pStyle w:val="Heading1"/>
        <w:spacing w:before="0" w:line="240" w:lineRule="auto"/>
        <w:rPr>
          <w:rFonts w:ascii="Open Sans SemiBold" w:hAnsi="Open Sans SemiBold" w:cs="Open Sans SemiBold"/>
          <w:color w:val="004848"/>
        </w:rPr>
      </w:pPr>
      <w:r w:rsidRPr="00705218">
        <w:rPr>
          <w:rFonts w:ascii="Open Sans SemiBold" w:hAnsi="Open Sans SemiBold" w:cs="Open Sans SemiBold"/>
          <w:color w:val="004848"/>
        </w:rPr>
        <w:t>Stressor-Response Table</w:t>
      </w:r>
    </w:p>
    <w:p w14:paraId="760A0FEF" w14:textId="77777777" w:rsidR="00616F1B" w:rsidRPr="00B72B89" w:rsidRDefault="00616F1B" w:rsidP="00B72B89">
      <w:pPr>
        <w:pStyle w:val="Heading1"/>
        <w:spacing w:before="0" w:line="240" w:lineRule="auto"/>
        <w:rPr>
          <w:rFonts w:ascii="Open Sans SemiBold" w:hAnsi="Open Sans SemiBold" w:cs="Open Sans SemiBold"/>
          <w:color w:val="004848"/>
        </w:rPr>
      </w:pPr>
    </w:p>
    <w:p w14:paraId="1D8B0F8B" w14:textId="23F2D329" w:rsidR="00FE22CD" w:rsidRPr="009F2F47" w:rsidRDefault="00FE22CD" w:rsidP="00616F1B">
      <w:pPr>
        <w:pStyle w:val="Caption"/>
        <w:ind w:left="720" w:hanging="720"/>
        <w:jc w:val="both"/>
        <w:rPr>
          <w:rFonts w:ascii="Open Sans" w:hAnsi="Open Sans" w:cs="Open Sans"/>
          <w:b/>
          <w:bCs/>
          <w:i w:val="0"/>
          <w:iCs w:val="0"/>
          <w:sz w:val="22"/>
          <w:szCs w:val="22"/>
        </w:rPr>
      </w:pPr>
      <w:r w:rsidRPr="009F2F47">
        <w:rPr>
          <w:rFonts w:ascii="Open Sans" w:hAnsi="Open Sans" w:cs="Open Sans"/>
          <w:b/>
          <w:bCs/>
          <w:i w:val="0"/>
          <w:iCs w:val="0"/>
          <w:sz w:val="22"/>
          <w:szCs w:val="22"/>
        </w:rPr>
        <w:t xml:space="preserve">Table </w:t>
      </w:r>
      <w:r w:rsidRPr="009F2F47">
        <w:rPr>
          <w:rFonts w:ascii="Open Sans" w:hAnsi="Open Sans" w:cs="Open Sans"/>
          <w:b/>
          <w:bCs/>
          <w:i w:val="0"/>
          <w:iCs w:val="0"/>
          <w:sz w:val="22"/>
          <w:szCs w:val="22"/>
        </w:rPr>
        <w:fldChar w:fldCharType="begin"/>
      </w:r>
      <w:r w:rsidRPr="009F2F47">
        <w:rPr>
          <w:rFonts w:ascii="Open Sans" w:hAnsi="Open Sans" w:cs="Open Sans"/>
          <w:b/>
          <w:bCs/>
          <w:i w:val="0"/>
          <w:iCs w:val="0"/>
          <w:sz w:val="22"/>
          <w:szCs w:val="22"/>
        </w:rPr>
        <w:instrText xml:space="preserve"> SEQ Table \* ARABIC </w:instrText>
      </w:r>
      <w:r w:rsidRPr="009F2F47">
        <w:rPr>
          <w:rFonts w:ascii="Open Sans" w:hAnsi="Open Sans" w:cs="Open Sans"/>
          <w:b/>
          <w:bCs/>
          <w:i w:val="0"/>
          <w:iCs w:val="0"/>
          <w:sz w:val="22"/>
          <w:szCs w:val="22"/>
        </w:rPr>
        <w:fldChar w:fldCharType="separate"/>
      </w:r>
      <w:r w:rsidRPr="009F2F47">
        <w:rPr>
          <w:rFonts w:ascii="Open Sans" w:hAnsi="Open Sans" w:cs="Open Sans"/>
          <w:b/>
          <w:bCs/>
          <w:i w:val="0"/>
          <w:iCs w:val="0"/>
          <w:sz w:val="22"/>
          <w:szCs w:val="22"/>
        </w:rPr>
        <w:t>1</w:t>
      </w:r>
      <w:r w:rsidRPr="009F2F47">
        <w:rPr>
          <w:rFonts w:ascii="Open Sans" w:hAnsi="Open Sans" w:cs="Open Sans"/>
          <w:b/>
          <w:bCs/>
          <w:i w:val="0"/>
          <w:iCs w:val="0"/>
          <w:sz w:val="22"/>
          <w:szCs w:val="22"/>
        </w:rPr>
        <w:fldChar w:fldCharType="end"/>
      </w:r>
      <w:r w:rsidRPr="009F2F47">
        <w:rPr>
          <w:rFonts w:ascii="Open Sans" w:hAnsi="Open Sans" w:cs="Open Sans"/>
          <w:b/>
          <w:bCs/>
          <w:i w:val="0"/>
          <w:iCs w:val="0"/>
          <w:sz w:val="22"/>
          <w:szCs w:val="22"/>
        </w:rPr>
        <w:t xml:space="preserve">: </w:t>
      </w:r>
      <w:r w:rsidR="00DF4DB8" w:rsidRPr="009F2F47">
        <w:rPr>
          <w:rFonts w:ascii="Open Sans" w:hAnsi="Open Sans" w:cs="Open Sans"/>
          <w:i w:val="0"/>
          <w:iCs w:val="0"/>
          <w:sz w:val="22"/>
          <w:szCs w:val="22"/>
        </w:rPr>
        <w:t>Inflection points and limits used to create SR function for Plains Sucker</w:t>
      </w:r>
      <w:r w:rsidR="00A80314" w:rsidRPr="009F2F47">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1980"/>
        <w:gridCol w:w="1440"/>
        <w:gridCol w:w="1440"/>
        <w:gridCol w:w="1615"/>
      </w:tblGrid>
      <w:tr w:rsidR="00FE22CD" w:rsidRPr="009F2F47" w14:paraId="53459223" w14:textId="77777777" w:rsidTr="00230FDC">
        <w:trPr>
          <w:trHeight w:val="600"/>
        </w:trPr>
        <w:tc>
          <w:tcPr>
            <w:tcW w:w="2160" w:type="dxa"/>
            <w:tcBorders>
              <w:top w:val="nil"/>
              <w:left w:val="nil"/>
              <w:bottom w:val="single" w:sz="4" w:space="0" w:color="auto"/>
              <w:right w:val="nil"/>
            </w:tcBorders>
            <w:shd w:val="clear" w:color="000000" w:fill="D9D9D9"/>
            <w:vAlign w:val="bottom"/>
            <w:hideMark/>
          </w:tcPr>
          <w:p w14:paraId="7ADFF80C" w14:textId="2572444C" w:rsidR="00FE22CD" w:rsidRPr="009F2F47" w:rsidRDefault="00301F28" w:rsidP="00E12694">
            <w:pPr>
              <w:spacing w:after="0" w:line="240" w:lineRule="auto"/>
              <w:jc w:val="center"/>
              <w:rPr>
                <w:rFonts w:ascii="Open Sans" w:eastAsia="Times New Roman" w:hAnsi="Open Sans" w:cs="Open Sans"/>
                <w:b/>
                <w:bCs/>
                <w:color w:val="000000"/>
              </w:rPr>
            </w:pPr>
            <w:r w:rsidRPr="009F2F47">
              <w:rPr>
                <w:rFonts w:ascii="Open Sans" w:eastAsia="Times New Roman" w:hAnsi="Open Sans" w:cs="Open Sans"/>
                <w:b/>
                <w:bCs/>
                <w:color w:val="000000"/>
              </w:rPr>
              <w:t>Habitat Loss (%)</w:t>
            </w:r>
          </w:p>
        </w:tc>
        <w:tc>
          <w:tcPr>
            <w:tcW w:w="1980" w:type="dxa"/>
            <w:tcBorders>
              <w:top w:val="nil"/>
              <w:left w:val="nil"/>
              <w:bottom w:val="single" w:sz="4" w:space="0" w:color="auto"/>
              <w:right w:val="nil"/>
            </w:tcBorders>
            <w:shd w:val="clear" w:color="000000" w:fill="D9D9D9"/>
            <w:noWrap/>
            <w:vAlign w:val="bottom"/>
            <w:hideMark/>
          </w:tcPr>
          <w:p w14:paraId="3633C009" w14:textId="77777777" w:rsidR="00230FDC" w:rsidRPr="009F2F47" w:rsidRDefault="00FE22CD" w:rsidP="00E12694">
            <w:pPr>
              <w:spacing w:after="0" w:line="240" w:lineRule="auto"/>
              <w:jc w:val="center"/>
              <w:rPr>
                <w:rFonts w:ascii="Open Sans" w:eastAsia="Times New Roman" w:hAnsi="Open Sans" w:cs="Open Sans"/>
                <w:b/>
                <w:bCs/>
                <w:color w:val="000000"/>
              </w:rPr>
            </w:pPr>
            <w:r w:rsidRPr="009F2F47">
              <w:rPr>
                <w:rFonts w:ascii="Open Sans" w:eastAsia="Times New Roman" w:hAnsi="Open Sans" w:cs="Open Sans"/>
                <w:b/>
                <w:bCs/>
                <w:color w:val="000000"/>
              </w:rPr>
              <w:t xml:space="preserve">Mean System </w:t>
            </w:r>
          </w:p>
          <w:p w14:paraId="7D3BD92B" w14:textId="2B6E0147" w:rsidR="00FE22CD" w:rsidRPr="009F2F47" w:rsidRDefault="00FE22CD" w:rsidP="00E12694">
            <w:pPr>
              <w:spacing w:after="0" w:line="240" w:lineRule="auto"/>
              <w:jc w:val="center"/>
              <w:rPr>
                <w:rFonts w:ascii="Open Sans" w:eastAsia="Times New Roman" w:hAnsi="Open Sans" w:cs="Open Sans"/>
                <w:b/>
                <w:bCs/>
                <w:color w:val="000000"/>
              </w:rPr>
            </w:pPr>
            <w:r w:rsidRPr="009F2F47">
              <w:rPr>
                <w:rFonts w:ascii="Open Sans" w:eastAsia="Times New Roman" w:hAnsi="Open Sans" w:cs="Open Sans"/>
                <w:b/>
                <w:bCs/>
                <w:color w:val="000000"/>
              </w:rPr>
              <w:t>Capacity (%)</w:t>
            </w:r>
          </w:p>
        </w:tc>
        <w:tc>
          <w:tcPr>
            <w:tcW w:w="1440" w:type="dxa"/>
            <w:tcBorders>
              <w:top w:val="nil"/>
              <w:left w:val="nil"/>
              <w:bottom w:val="single" w:sz="4" w:space="0" w:color="auto"/>
              <w:right w:val="nil"/>
            </w:tcBorders>
            <w:shd w:val="clear" w:color="000000" w:fill="D9D9D9"/>
            <w:vAlign w:val="bottom"/>
            <w:hideMark/>
          </w:tcPr>
          <w:p w14:paraId="7C074DB7" w14:textId="77777777" w:rsidR="00FE22CD" w:rsidRPr="009F2F47" w:rsidRDefault="00FE22CD" w:rsidP="00E12694">
            <w:pPr>
              <w:spacing w:after="0" w:line="240" w:lineRule="auto"/>
              <w:jc w:val="center"/>
              <w:rPr>
                <w:rFonts w:ascii="Open Sans" w:eastAsia="Times New Roman" w:hAnsi="Open Sans" w:cs="Open Sans"/>
                <w:b/>
                <w:bCs/>
                <w:color w:val="000000"/>
              </w:rPr>
            </w:pPr>
            <w:r w:rsidRPr="009F2F47">
              <w:rPr>
                <w:rFonts w:ascii="Open Sans" w:eastAsia="Times New Roman" w:hAnsi="Open Sans" w:cs="Open Sans"/>
                <w:b/>
                <w:bCs/>
                <w:color w:val="000000"/>
              </w:rPr>
              <w:t>SD</w:t>
            </w:r>
          </w:p>
        </w:tc>
        <w:tc>
          <w:tcPr>
            <w:tcW w:w="1440" w:type="dxa"/>
            <w:tcBorders>
              <w:top w:val="nil"/>
              <w:left w:val="nil"/>
              <w:bottom w:val="single" w:sz="4" w:space="0" w:color="auto"/>
              <w:right w:val="nil"/>
            </w:tcBorders>
            <w:shd w:val="clear" w:color="000000" w:fill="D9D9D9"/>
            <w:vAlign w:val="bottom"/>
            <w:hideMark/>
          </w:tcPr>
          <w:p w14:paraId="3F3D5280" w14:textId="77777777" w:rsidR="00FE22CD" w:rsidRPr="009F2F47" w:rsidRDefault="00FE22CD" w:rsidP="00E12694">
            <w:pPr>
              <w:spacing w:after="0" w:line="240" w:lineRule="auto"/>
              <w:jc w:val="center"/>
              <w:rPr>
                <w:rFonts w:ascii="Open Sans" w:eastAsia="Times New Roman" w:hAnsi="Open Sans" w:cs="Open Sans"/>
                <w:b/>
                <w:bCs/>
                <w:color w:val="000000"/>
              </w:rPr>
            </w:pPr>
            <w:r w:rsidRPr="009F2F47">
              <w:rPr>
                <w:rFonts w:ascii="Open Sans" w:eastAsia="Times New Roman" w:hAnsi="Open Sans" w:cs="Open Sans"/>
                <w:b/>
                <w:bCs/>
                <w:color w:val="000000"/>
              </w:rPr>
              <w:t>Lower Limit</w:t>
            </w:r>
          </w:p>
        </w:tc>
        <w:tc>
          <w:tcPr>
            <w:tcW w:w="1615" w:type="dxa"/>
            <w:tcBorders>
              <w:top w:val="nil"/>
              <w:left w:val="nil"/>
              <w:bottom w:val="single" w:sz="4" w:space="0" w:color="auto"/>
              <w:right w:val="nil"/>
            </w:tcBorders>
            <w:shd w:val="clear" w:color="000000" w:fill="D9D9D9"/>
            <w:vAlign w:val="bottom"/>
            <w:hideMark/>
          </w:tcPr>
          <w:p w14:paraId="2E92DD6E" w14:textId="77777777" w:rsidR="00FE22CD" w:rsidRPr="009F2F47" w:rsidRDefault="00FE22CD" w:rsidP="00E12694">
            <w:pPr>
              <w:spacing w:after="0" w:line="240" w:lineRule="auto"/>
              <w:jc w:val="center"/>
              <w:rPr>
                <w:rFonts w:ascii="Open Sans" w:eastAsia="Times New Roman" w:hAnsi="Open Sans" w:cs="Open Sans"/>
                <w:b/>
                <w:bCs/>
                <w:color w:val="000000"/>
              </w:rPr>
            </w:pPr>
            <w:r w:rsidRPr="009F2F47">
              <w:rPr>
                <w:rFonts w:ascii="Open Sans" w:eastAsia="Times New Roman" w:hAnsi="Open Sans" w:cs="Open Sans"/>
                <w:b/>
                <w:bCs/>
                <w:color w:val="000000"/>
              </w:rPr>
              <w:t>Upper Limit</w:t>
            </w:r>
          </w:p>
        </w:tc>
      </w:tr>
      <w:tr w:rsidR="006C401C" w:rsidRPr="009F2F47" w14:paraId="7A744029" w14:textId="77777777" w:rsidTr="00230FDC">
        <w:trPr>
          <w:trHeight w:val="300"/>
        </w:trPr>
        <w:tc>
          <w:tcPr>
            <w:tcW w:w="2160" w:type="dxa"/>
            <w:tcBorders>
              <w:top w:val="nil"/>
              <w:left w:val="nil"/>
              <w:bottom w:val="nil"/>
              <w:right w:val="nil"/>
            </w:tcBorders>
            <w:shd w:val="clear" w:color="auto" w:fill="auto"/>
            <w:noWrap/>
            <w:vAlign w:val="bottom"/>
            <w:hideMark/>
          </w:tcPr>
          <w:p w14:paraId="2F042600" w14:textId="07538394" w:rsidR="006C401C" w:rsidRPr="009F2F47" w:rsidRDefault="00301F28"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980" w:type="dxa"/>
            <w:tcBorders>
              <w:top w:val="nil"/>
              <w:left w:val="nil"/>
              <w:bottom w:val="nil"/>
              <w:right w:val="nil"/>
            </w:tcBorders>
            <w:shd w:val="clear" w:color="auto" w:fill="auto"/>
            <w:noWrap/>
            <w:vAlign w:val="bottom"/>
            <w:hideMark/>
          </w:tcPr>
          <w:p w14:paraId="4D32AD4F" w14:textId="2B4B1E22"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c>
          <w:tcPr>
            <w:tcW w:w="1440" w:type="dxa"/>
            <w:tcBorders>
              <w:top w:val="nil"/>
              <w:left w:val="nil"/>
              <w:bottom w:val="nil"/>
              <w:right w:val="nil"/>
            </w:tcBorders>
            <w:shd w:val="clear" w:color="auto" w:fill="auto"/>
            <w:noWrap/>
            <w:vAlign w:val="bottom"/>
            <w:hideMark/>
          </w:tcPr>
          <w:p w14:paraId="2C2F8B57" w14:textId="6EF6495C"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14:paraId="370141B4" w14:textId="55598022"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14:paraId="4642599A" w14:textId="3310BF0A"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r>
      <w:tr w:rsidR="006C401C" w:rsidRPr="009F2F47" w14:paraId="053543C6" w14:textId="77777777" w:rsidTr="00230FDC">
        <w:trPr>
          <w:trHeight w:val="300"/>
        </w:trPr>
        <w:tc>
          <w:tcPr>
            <w:tcW w:w="2160" w:type="dxa"/>
            <w:tcBorders>
              <w:top w:val="nil"/>
              <w:left w:val="nil"/>
              <w:bottom w:val="nil"/>
              <w:right w:val="nil"/>
            </w:tcBorders>
            <w:shd w:val="clear" w:color="auto" w:fill="auto"/>
            <w:noWrap/>
            <w:vAlign w:val="bottom"/>
            <w:hideMark/>
          </w:tcPr>
          <w:p w14:paraId="58CE4F37" w14:textId="40A52B3F" w:rsidR="006C401C" w:rsidRPr="009F2F47" w:rsidRDefault="00301F28"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20</w:t>
            </w:r>
          </w:p>
        </w:tc>
        <w:tc>
          <w:tcPr>
            <w:tcW w:w="1980" w:type="dxa"/>
            <w:tcBorders>
              <w:top w:val="nil"/>
              <w:left w:val="nil"/>
              <w:bottom w:val="nil"/>
              <w:right w:val="nil"/>
            </w:tcBorders>
            <w:shd w:val="clear" w:color="auto" w:fill="auto"/>
            <w:noWrap/>
            <w:vAlign w:val="bottom"/>
            <w:hideMark/>
          </w:tcPr>
          <w:p w14:paraId="7DC1E797" w14:textId="2B9E1ABF" w:rsidR="006C401C" w:rsidRPr="009F2F47" w:rsidRDefault="00C2617B"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80</w:t>
            </w:r>
          </w:p>
        </w:tc>
        <w:tc>
          <w:tcPr>
            <w:tcW w:w="1440" w:type="dxa"/>
            <w:tcBorders>
              <w:top w:val="nil"/>
              <w:left w:val="nil"/>
              <w:bottom w:val="nil"/>
              <w:right w:val="nil"/>
            </w:tcBorders>
            <w:shd w:val="clear" w:color="auto" w:fill="auto"/>
            <w:noWrap/>
            <w:vAlign w:val="bottom"/>
            <w:hideMark/>
          </w:tcPr>
          <w:p w14:paraId="12DE7A4E" w14:textId="129C6447"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14:paraId="7C06ABEB" w14:textId="1B6761B8"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14:paraId="26FE4F4F" w14:textId="2B3C9790"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r>
      <w:tr w:rsidR="006C401C" w:rsidRPr="009F2F47" w14:paraId="633D9F3B" w14:textId="77777777" w:rsidTr="00230FDC">
        <w:trPr>
          <w:trHeight w:val="300"/>
        </w:trPr>
        <w:tc>
          <w:tcPr>
            <w:tcW w:w="2160" w:type="dxa"/>
            <w:tcBorders>
              <w:top w:val="nil"/>
              <w:left w:val="nil"/>
              <w:bottom w:val="nil"/>
              <w:right w:val="nil"/>
            </w:tcBorders>
            <w:shd w:val="clear" w:color="auto" w:fill="auto"/>
            <w:noWrap/>
            <w:vAlign w:val="bottom"/>
            <w:hideMark/>
          </w:tcPr>
          <w:p w14:paraId="6775ADA3" w14:textId="4A0382A6" w:rsidR="006C401C" w:rsidRPr="009F2F47" w:rsidRDefault="00301F28" w:rsidP="006C401C">
            <w:pPr>
              <w:spacing w:after="0" w:line="240" w:lineRule="auto"/>
              <w:jc w:val="right"/>
              <w:rPr>
                <w:rFonts w:ascii="Open Sans" w:eastAsia="Times New Roman" w:hAnsi="Open Sans" w:cs="Open Sans"/>
                <w:color w:val="000000"/>
              </w:rPr>
            </w:pPr>
            <w:r w:rsidRPr="009F2F47">
              <w:rPr>
                <w:rFonts w:ascii="Open Sans" w:eastAsia="Times New Roman" w:hAnsi="Open Sans" w:cs="Open Sans"/>
                <w:color w:val="000000"/>
              </w:rPr>
              <w:t>40</w:t>
            </w:r>
          </w:p>
        </w:tc>
        <w:tc>
          <w:tcPr>
            <w:tcW w:w="1980" w:type="dxa"/>
            <w:tcBorders>
              <w:top w:val="nil"/>
              <w:left w:val="nil"/>
              <w:bottom w:val="nil"/>
              <w:right w:val="nil"/>
            </w:tcBorders>
            <w:shd w:val="clear" w:color="auto" w:fill="auto"/>
            <w:noWrap/>
            <w:vAlign w:val="bottom"/>
            <w:hideMark/>
          </w:tcPr>
          <w:p w14:paraId="28933496" w14:textId="2358D7CD" w:rsidR="006C401C" w:rsidRPr="009F2F47" w:rsidRDefault="00C2617B"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60</w:t>
            </w:r>
          </w:p>
        </w:tc>
        <w:tc>
          <w:tcPr>
            <w:tcW w:w="1440" w:type="dxa"/>
            <w:tcBorders>
              <w:top w:val="nil"/>
              <w:left w:val="nil"/>
              <w:bottom w:val="nil"/>
              <w:right w:val="nil"/>
            </w:tcBorders>
            <w:shd w:val="clear" w:color="auto" w:fill="auto"/>
            <w:noWrap/>
            <w:vAlign w:val="bottom"/>
            <w:hideMark/>
          </w:tcPr>
          <w:p w14:paraId="32552753" w14:textId="7889C122"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14:paraId="07D263E9" w14:textId="789F46AC"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14:paraId="2D4FA36F" w14:textId="3E74403C"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r>
      <w:tr w:rsidR="006C401C" w:rsidRPr="009F2F47" w14:paraId="27ADFE43" w14:textId="77777777" w:rsidTr="00230FDC">
        <w:trPr>
          <w:trHeight w:val="300"/>
        </w:trPr>
        <w:tc>
          <w:tcPr>
            <w:tcW w:w="2160" w:type="dxa"/>
            <w:tcBorders>
              <w:top w:val="nil"/>
              <w:left w:val="nil"/>
              <w:bottom w:val="nil"/>
              <w:right w:val="nil"/>
            </w:tcBorders>
            <w:shd w:val="clear" w:color="auto" w:fill="auto"/>
            <w:noWrap/>
            <w:vAlign w:val="bottom"/>
            <w:hideMark/>
          </w:tcPr>
          <w:p w14:paraId="4E128654" w14:textId="6B68E2BB" w:rsidR="006C401C" w:rsidRPr="009F2F47" w:rsidRDefault="00301F28"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60</w:t>
            </w:r>
          </w:p>
        </w:tc>
        <w:tc>
          <w:tcPr>
            <w:tcW w:w="1980" w:type="dxa"/>
            <w:tcBorders>
              <w:top w:val="nil"/>
              <w:left w:val="nil"/>
              <w:bottom w:val="nil"/>
              <w:right w:val="nil"/>
            </w:tcBorders>
            <w:shd w:val="clear" w:color="auto" w:fill="auto"/>
            <w:noWrap/>
            <w:vAlign w:val="bottom"/>
            <w:hideMark/>
          </w:tcPr>
          <w:p w14:paraId="37B833EF" w14:textId="32A32E6D" w:rsidR="006C401C" w:rsidRPr="009F2F47" w:rsidRDefault="00C2617B"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40</w:t>
            </w:r>
          </w:p>
        </w:tc>
        <w:tc>
          <w:tcPr>
            <w:tcW w:w="1440" w:type="dxa"/>
            <w:tcBorders>
              <w:top w:val="nil"/>
              <w:left w:val="nil"/>
              <w:bottom w:val="nil"/>
              <w:right w:val="nil"/>
            </w:tcBorders>
            <w:shd w:val="clear" w:color="auto" w:fill="auto"/>
            <w:noWrap/>
            <w:vAlign w:val="bottom"/>
            <w:hideMark/>
          </w:tcPr>
          <w:p w14:paraId="30AD357C" w14:textId="5EDD9961"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14:paraId="7FE9B1D5" w14:textId="448C8792"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14:paraId="435825C6" w14:textId="6AFB884D"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r>
      <w:tr w:rsidR="006C401C" w:rsidRPr="009F2F47" w14:paraId="28C720CD" w14:textId="77777777" w:rsidTr="00230FDC">
        <w:trPr>
          <w:trHeight w:val="300"/>
        </w:trPr>
        <w:tc>
          <w:tcPr>
            <w:tcW w:w="2160" w:type="dxa"/>
            <w:tcBorders>
              <w:top w:val="nil"/>
              <w:left w:val="nil"/>
              <w:bottom w:val="nil"/>
              <w:right w:val="nil"/>
            </w:tcBorders>
            <w:shd w:val="clear" w:color="auto" w:fill="auto"/>
            <w:noWrap/>
            <w:vAlign w:val="bottom"/>
            <w:hideMark/>
          </w:tcPr>
          <w:p w14:paraId="5900284E" w14:textId="659FDF53" w:rsidR="006C401C" w:rsidRPr="009F2F47" w:rsidRDefault="00301F28"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c>
          <w:tcPr>
            <w:tcW w:w="1980" w:type="dxa"/>
            <w:tcBorders>
              <w:top w:val="nil"/>
              <w:left w:val="nil"/>
              <w:bottom w:val="nil"/>
              <w:right w:val="nil"/>
            </w:tcBorders>
            <w:shd w:val="clear" w:color="auto" w:fill="auto"/>
            <w:noWrap/>
            <w:vAlign w:val="bottom"/>
            <w:hideMark/>
          </w:tcPr>
          <w:p w14:paraId="76171B9D" w14:textId="570328A4" w:rsidR="006C401C" w:rsidRPr="009F2F47" w:rsidRDefault="00C2617B"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14:paraId="6F8B49B9" w14:textId="75714077"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440" w:type="dxa"/>
            <w:tcBorders>
              <w:top w:val="nil"/>
              <w:left w:val="nil"/>
              <w:bottom w:val="nil"/>
              <w:right w:val="nil"/>
            </w:tcBorders>
            <w:shd w:val="clear" w:color="auto" w:fill="auto"/>
            <w:noWrap/>
            <w:vAlign w:val="bottom"/>
            <w:hideMark/>
          </w:tcPr>
          <w:p w14:paraId="4D98296E" w14:textId="17851E41"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0</w:t>
            </w:r>
          </w:p>
        </w:tc>
        <w:tc>
          <w:tcPr>
            <w:tcW w:w="1615" w:type="dxa"/>
            <w:tcBorders>
              <w:top w:val="nil"/>
              <w:left w:val="nil"/>
              <w:bottom w:val="nil"/>
              <w:right w:val="nil"/>
            </w:tcBorders>
            <w:shd w:val="clear" w:color="auto" w:fill="auto"/>
            <w:noWrap/>
            <w:vAlign w:val="bottom"/>
            <w:hideMark/>
          </w:tcPr>
          <w:p w14:paraId="617A381A" w14:textId="69206E15" w:rsidR="006C401C" w:rsidRPr="009F2F47" w:rsidRDefault="006C401C" w:rsidP="006C401C">
            <w:pPr>
              <w:spacing w:after="0" w:line="240" w:lineRule="auto"/>
              <w:jc w:val="right"/>
              <w:rPr>
                <w:rFonts w:ascii="Open Sans" w:eastAsia="Times New Roman" w:hAnsi="Open Sans" w:cs="Open Sans"/>
                <w:color w:val="000000"/>
              </w:rPr>
            </w:pPr>
            <w:r w:rsidRPr="009F2F47">
              <w:rPr>
                <w:rFonts w:ascii="Open Sans" w:hAnsi="Open Sans" w:cs="Open Sans"/>
                <w:color w:val="000000"/>
              </w:rPr>
              <w:t>100</w:t>
            </w:r>
          </w:p>
        </w:tc>
      </w:tr>
    </w:tbl>
    <w:p w14:paraId="139EC3DB" w14:textId="77777777" w:rsidR="00602E57" w:rsidRDefault="00602E57" w:rsidP="000200E1">
      <w:pPr>
        <w:pStyle w:val="Heading2"/>
      </w:pPr>
    </w:p>
    <w:p w14:paraId="59EA74CC" w14:textId="77777777" w:rsidR="00602E57" w:rsidRDefault="00602E57">
      <w:pPr>
        <w:rPr>
          <w:rFonts w:ascii="Segoe UI" w:eastAsiaTheme="majorEastAsia" w:hAnsi="Segoe UI" w:cs="Segoe UI"/>
          <w:color w:val="2F5496" w:themeColor="accent1" w:themeShade="BF"/>
          <w:sz w:val="28"/>
          <w:szCs w:val="28"/>
        </w:rPr>
      </w:pPr>
      <w:r>
        <w:rPr>
          <w:rFonts w:ascii="Segoe UI" w:hAnsi="Segoe UI" w:cs="Segoe UI"/>
        </w:rPr>
        <w:br w:type="page"/>
      </w:r>
    </w:p>
    <w:p w14:paraId="0D3A27B9" w14:textId="5A9FC9F0" w:rsidR="00410060" w:rsidRPr="00705218" w:rsidRDefault="668E1B02" w:rsidP="008A4AFF">
      <w:pPr>
        <w:pStyle w:val="Heading1"/>
        <w:spacing w:before="0" w:line="240" w:lineRule="auto"/>
        <w:rPr>
          <w:rFonts w:ascii="Open Sans SemiBold" w:hAnsi="Open Sans SemiBold" w:cs="Open Sans SemiBold"/>
          <w:color w:val="004848"/>
        </w:rPr>
      </w:pPr>
      <w:r w:rsidRPr="00705218">
        <w:rPr>
          <w:rFonts w:ascii="Open Sans SemiBold" w:hAnsi="Open Sans SemiBold" w:cs="Open Sans SemiBold"/>
          <w:color w:val="004848"/>
        </w:rPr>
        <w:lastRenderedPageBreak/>
        <w:t xml:space="preserve">SR </w:t>
      </w:r>
      <w:r w:rsidR="1E0E5A8E" w:rsidRPr="00705218">
        <w:rPr>
          <w:rFonts w:ascii="Open Sans SemiBold" w:hAnsi="Open Sans SemiBold" w:cs="Open Sans SemiBold"/>
          <w:color w:val="004848"/>
        </w:rPr>
        <w:t>Curve Confidence</w:t>
      </w:r>
      <w:r w:rsidR="2D110190" w:rsidRPr="00705218">
        <w:rPr>
          <w:rFonts w:ascii="Open Sans SemiBold" w:hAnsi="Open Sans SemiBold" w:cs="Open Sans SemiBold"/>
          <w:color w:val="004848"/>
        </w:rPr>
        <w:t xml:space="preserve"> and Sources of Uncertainty</w:t>
      </w:r>
    </w:p>
    <w:p w14:paraId="3871A848" w14:textId="17C68CBD" w:rsidR="000E794B" w:rsidRDefault="000E794B" w:rsidP="000E794B">
      <w:pPr>
        <w:rPr>
          <w:rFonts w:asciiTheme="majorHAnsi" w:hAnsiTheme="majorHAnsi" w:cstheme="majorHAns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15"/>
        <w:gridCol w:w="2358"/>
        <w:gridCol w:w="2430"/>
        <w:gridCol w:w="2257"/>
      </w:tblGrid>
      <w:tr w:rsidR="65CAB813" w14:paraId="2E35D563" w14:textId="77777777" w:rsidTr="65CAB813">
        <w:trPr>
          <w:trHeight w:val="300"/>
        </w:trPr>
        <w:tc>
          <w:tcPr>
            <w:tcW w:w="2315" w:type="dxa"/>
            <w:tcBorders>
              <w:top w:val="nil"/>
              <w:left w:val="nil"/>
              <w:bottom w:val="single" w:sz="6" w:space="0" w:color="auto"/>
              <w:right w:val="single" w:sz="6" w:space="0" w:color="auto"/>
            </w:tcBorders>
            <w:tcMar>
              <w:left w:w="105" w:type="dxa"/>
              <w:right w:w="105" w:type="dxa"/>
            </w:tcMar>
          </w:tcPr>
          <w:p w14:paraId="655493B2" w14:textId="45AD86F6" w:rsidR="65CAB813" w:rsidRPr="00803A10" w:rsidRDefault="65CAB813" w:rsidP="65CAB813">
            <w:pPr>
              <w:spacing w:line="259" w:lineRule="auto"/>
              <w:rPr>
                <w:rFonts w:ascii="Open Sans" w:eastAsia="Calibri Light" w:hAnsi="Open Sans" w:cs="Open Sans"/>
                <w:color w:val="2F5496" w:themeColor="accent1" w:themeShade="BF"/>
                <w:sz w:val="28"/>
                <w:szCs w:val="28"/>
              </w:rPr>
            </w:pPr>
          </w:p>
        </w:tc>
        <w:tc>
          <w:tcPr>
            <w:tcW w:w="2358" w:type="dxa"/>
            <w:tcBorders>
              <w:top w:val="nil"/>
              <w:left w:val="single" w:sz="6" w:space="0" w:color="auto"/>
              <w:bottom w:val="single" w:sz="6" w:space="0" w:color="auto"/>
              <w:right w:val="single" w:sz="6" w:space="0" w:color="auto"/>
            </w:tcBorders>
            <w:shd w:val="clear" w:color="auto" w:fill="FFBDBD"/>
            <w:tcMar>
              <w:left w:w="105" w:type="dxa"/>
              <w:right w:w="105" w:type="dxa"/>
            </w:tcMar>
          </w:tcPr>
          <w:p w14:paraId="101A5E15" w14:textId="0888ED94" w:rsidR="65CAB813" w:rsidRPr="00803A10" w:rsidRDefault="65CAB813" w:rsidP="65CAB813">
            <w:pPr>
              <w:spacing w:line="259" w:lineRule="auto"/>
              <w:jc w:val="center"/>
              <w:rPr>
                <w:rFonts w:ascii="Open Sans" w:eastAsia="Calibri Light" w:hAnsi="Open Sans" w:cs="Open Sans"/>
                <w:color w:val="2F5496" w:themeColor="accent1" w:themeShade="BF"/>
                <w:sz w:val="28"/>
                <w:szCs w:val="28"/>
              </w:rPr>
            </w:pPr>
            <w:r w:rsidRPr="00803A10">
              <w:rPr>
                <w:rFonts w:ascii="Open Sans" w:eastAsia="Calibri Light" w:hAnsi="Open Sans" w:cs="Open Sans"/>
                <w:b/>
                <w:bCs/>
                <w:color w:val="2F5496" w:themeColor="accent1" w:themeShade="BF"/>
                <w:sz w:val="28"/>
                <w:szCs w:val="28"/>
              </w:rPr>
              <w:t>Low Confidence</w:t>
            </w:r>
          </w:p>
        </w:tc>
        <w:tc>
          <w:tcPr>
            <w:tcW w:w="2430" w:type="dxa"/>
            <w:tcBorders>
              <w:top w:val="nil"/>
              <w:left w:val="single" w:sz="6" w:space="0" w:color="auto"/>
              <w:bottom w:val="single" w:sz="6" w:space="0" w:color="auto"/>
              <w:right w:val="single" w:sz="6" w:space="0" w:color="auto"/>
            </w:tcBorders>
            <w:shd w:val="clear" w:color="auto" w:fill="FFE599" w:themeFill="accent4" w:themeFillTint="66"/>
            <w:tcMar>
              <w:left w:w="105" w:type="dxa"/>
              <w:right w:w="105" w:type="dxa"/>
            </w:tcMar>
          </w:tcPr>
          <w:p w14:paraId="520B542B" w14:textId="15969706" w:rsidR="65CAB813" w:rsidRPr="00803A10" w:rsidRDefault="65CAB813" w:rsidP="65CAB813">
            <w:pPr>
              <w:spacing w:line="259" w:lineRule="auto"/>
              <w:jc w:val="center"/>
              <w:rPr>
                <w:rFonts w:ascii="Open Sans" w:eastAsia="Calibri Light" w:hAnsi="Open Sans" w:cs="Open Sans"/>
                <w:color w:val="2F5496" w:themeColor="accent1" w:themeShade="BF"/>
                <w:sz w:val="28"/>
                <w:szCs w:val="28"/>
              </w:rPr>
            </w:pPr>
            <w:r w:rsidRPr="00803A10">
              <w:rPr>
                <w:rFonts w:ascii="Open Sans" w:eastAsia="Calibri Light" w:hAnsi="Open Sans" w:cs="Open Sans"/>
                <w:b/>
                <w:bCs/>
                <w:color w:val="2F5496" w:themeColor="accent1" w:themeShade="BF"/>
                <w:sz w:val="28"/>
                <w:szCs w:val="28"/>
              </w:rPr>
              <w:t>Moderate Confidence</w:t>
            </w:r>
          </w:p>
        </w:tc>
        <w:tc>
          <w:tcPr>
            <w:tcW w:w="2257" w:type="dxa"/>
            <w:tcBorders>
              <w:top w:val="nil"/>
              <w:left w:val="single" w:sz="6" w:space="0" w:color="auto"/>
              <w:bottom w:val="single" w:sz="6" w:space="0" w:color="auto"/>
              <w:right w:val="nil"/>
            </w:tcBorders>
            <w:shd w:val="clear" w:color="auto" w:fill="C5E0B3" w:themeFill="accent6" w:themeFillTint="66"/>
            <w:tcMar>
              <w:left w:w="105" w:type="dxa"/>
              <w:right w:w="105" w:type="dxa"/>
            </w:tcMar>
          </w:tcPr>
          <w:p w14:paraId="7F2FCCFF" w14:textId="47D340C8" w:rsidR="65CAB813" w:rsidRPr="00803A10" w:rsidRDefault="65CAB813" w:rsidP="65CAB813">
            <w:pPr>
              <w:spacing w:line="259" w:lineRule="auto"/>
              <w:jc w:val="center"/>
              <w:rPr>
                <w:rFonts w:ascii="Open Sans" w:eastAsia="Calibri Light" w:hAnsi="Open Sans" w:cs="Open Sans"/>
                <w:color w:val="2F5496" w:themeColor="accent1" w:themeShade="BF"/>
                <w:sz w:val="28"/>
                <w:szCs w:val="28"/>
              </w:rPr>
            </w:pPr>
            <w:r w:rsidRPr="00803A10">
              <w:rPr>
                <w:rFonts w:ascii="Open Sans" w:eastAsia="Calibri Light" w:hAnsi="Open Sans" w:cs="Open Sans"/>
                <w:b/>
                <w:bCs/>
                <w:color w:val="2F5496" w:themeColor="accent1" w:themeShade="BF"/>
                <w:sz w:val="28"/>
                <w:szCs w:val="28"/>
              </w:rPr>
              <w:t>High Confidence</w:t>
            </w:r>
          </w:p>
        </w:tc>
      </w:tr>
      <w:tr w:rsidR="65CAB813" w14:paraId="5CFAA92C"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66190A4B" w14:textId="10C3275E" w:rsidR="65CAB813" w:rsidRPr="00803A10" w:rsidRDefault="65CAB813" w:rsidP="65CAB813">
            <w:pPr>
              <w:spacing w:line="259" w:lineRule="auto"/>
              <w:rPr>
                <w:rFonts w:ascii="Open Sans" w:eastAsia="Calibri Light" w:hAnsi="Open Sans" w:cs="Open Sans"/>
                <w:b/>
                <w:bCs/>
                <w:color w:val="2F5496" w:themeColor="accent1" w:themeShade="BF"/>
                <w:sz w:val="28"/>
                <w:szCs w:val="28"/>
              </w:rPr>
            </w:pPr>
            <w:r w:rsidRPr="00803A10">
              <w:rPr>
                <w:rFonts w:ascii="Open Sans" w:eastAsia="Calibri Light" w:hAnsi="Open Sans" w:cs="Open Sans"/>
                <w:b/>
                <w:bCs/>
                <w:color w:val="2F5496" w:themeColor="accent1" w:themeShade="BF"/>
                <w:sz w:val="28"/>
                <w:szCs w:val="28"/>
              </w:rPr>
              <w:t>Data Source for SR Function</w:t>
            </w:r>
          </w:p>
        </w:tc>
        <w:tc>
          <w:tcPr>
            <w:tcW w:w="2358" w:type="dxa"/>
            <w:tcBorders>
              <w:top w:val="single" w:sz="6" w:space="0" w:color="auto"/>
              <w:left w:val="single" w:sz="6" w:space="0" w:color="auto"/>
              <w:bottom w:val="single" w:sz="6" w:space="0" w:color="auto"/>
              <w:right w:val="single" w:sz="6" w:space="0" w:color="auto"/>
            </w:tcBorders>
            <w:shd w:val="clear" w:color="auto" w:fill="FFBDBD"/>
            <w:tcMar>
              <w:left w:w="105" w:type="dxa"/>
              <w:right w:w="105" w:type="dxa"/>
            </w:tcMar>
            <w:vAlign w:val="center"/>
          </w:tcPr>
          <w:p w14:paraId="4B140B14" w14:textId="69E92B8A" w:rsidR="65CAB813" w:rsidRPr="00803A10" w:rsidRDefault="65CAB813" w:rsidP="65CAB813">
            <w:pPr>
              <w:spacing w:line="259" w:lineRule="auto"/>
              <w:jc w:val="center"/>
              <w:rPr>
                <w:rFonts w:ascii="Open Sans" w:eastAsia="Calibri Light" w:hAnsi="Open Sans" w:cs="Open Sans"/>
                <w:color w:val="000000" w:themeColor="text1"/>
                <w:sz w:val="56"/>
                <w:szCs w:val="56"/>
              </w:rPr>
            </w:pPr>
            <w:r w:rsidRPr="00803A10">
              <w:rPr>
                <w:rFonts w:ascii="Open Sans" w:eastAsia="Calibri Light" w:hAnsi="Open Sans" w:cs="Open Sans"/>
                <w:b/>
                <w:bCs/>
                <w:color w:val="000000" w:themeColor="text1"/>
                <w:sz w:val="56"/>
                <w:szCs w:val="56"/>
              </w:rPr>
              <w:t>X</w:t>
            </w:r>
          </w:p>
        </w:tc>
        <w:tc>
          <w:tcPr>
            <w:tcW w:w="2430" w:type="dxa"/>
            <w:tcBorders>
              <w:top w:val="single" w:sz="6" w:space="0" w:color="auto"/>
              <w:left w:val="single" w:sz="6" w:space="0" w:color="auto"/>
              <w:bottom w:val="single" w:sz="6" w:space="0" w:color="auto"/>
              <w:right w:val="single" w:sz="6" w:space="0" w:color="auto"/>
            </w:tcBorders>
            <w:shd w:val="clear" w:color="auto" w:fill="FFE599" w:themeFill="accent4" w:themeFillTint="66"/>
            <w:tcMar>
              <w:left w:w="105" w:type="dxa"/>
              <w:right w:w="105" w:type="dxa"/>
            </w:tcMar>
          </w:tcPr>
          <w:p w14:paraId="5FC8A180" w14:textId="63363C75" w:rsidR="65CAB813" w:rsidRPr="00803A10" w:rsidRDefault="65CAB813" w:rsidP="65CAB813">
            <w:pPr>
              <w:spacing w:line="259" w:lineRule="auto"/>
              <w:rPr>
                <w:rFonts w:ascii="Open Sans" w:eastAsia="Calibri Light" w:hAnsi="Open Sans" w:cs="Open Sans"/>
                <w:color w:val="000000" w:themeColor="text1"/>
                <w:sz w:val="20"/>
                <w:szCs w:val="20"/>
              </w:rPr>
            </w:pPr>
          </w:p>
        </w:tc>
        <w:tc>
          <w:tcPr>
            <w:tcW w:w="2257" w:type="dxa"/>
            <w:tcBorders>
              <w:top w:val="single" w:sz="6" w:space="0" w:color="auto"/>
              <w:left w:val="single" w:sz="6" w:space="0" w:color="auto"/>
              <w:bottom w:val="single" w:sz="6" w:space="0" w:color="auto"/>
              <w:right w:val="nil"/>
            </w:tcBorders>
            <w:shd w:val="clear" w:color="auto" w:fill="C5E0B3" w:themeFill="accent6" w:themeFillTint="66"/>
            <w:tcMar>
              <w:left w:w="105" w:type="dxa"/>
              <w:right w:w="105" w:type="dxa"/>
            </w:tcMar>
          </w:tcPr>
          <w:p w14:paraId="3A24BCF6" w14:textId="095FCACA" w:rsidR="65CAB813" w:rsidRPr="00803A10" w:rsidRDefault="65CAB813" w:rsidP="65CAB813">
            <w:pPr>
              <w:spacing w:line="259" w:lineRule="auto"/>
              <w:rPr>
                <w:rFonts w:ascii="Open Sans" w:eastAsia="Calibri Light" w:hAnsi="Open Sans" w:cs="Open Sans"/>
                <w:color w:val="000000" w:themeColor="text1"/>
                <w:sz w:val="20"/>
                <w:szCs w:val="20"/>
              </w:rPr>
            </w:pPr>
          </w:p>
        </w:tc>
      </w:tr>
      <w:tr w:rsidR="65CAB813" w14:paraId="25AEF1AF"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344C648B" w14:textId="729EF374" w:rsidR="65CAB813" w:rsidRPr="00803A10" w:rsidRDefault="65CAB813" w:rsidP="65CAB813">
            <w:pPr>
              <w:spacing w:line="259" w:lineRule="auto"/>
              <w:rPr>
                <w:rFonts w:ascii="Open Sans" w:eastAsia="Calibri Light" w:hAnsi="Open Sans" w:cs="Open Sans"/>
                <w:color w:val="2F5496" w:themeColor="accent1" w:themeShade="BF"/>
              </w:rPr>
            </w:pPr>
            <w:r w:rsidRPr="00803A10">
              <w:rPr>
                <w:rFonts w:ascii="Open Sans" w:eastAsia="Calibri Light" w:hAnsi="Open Sans" w:cs="Open Sans"/>
                <w:color w:val="2F5496" w:themeColor="accent1" w:themeShade="BF"/>
              </w:rPr>
              <w:t>Rationale --&gt;</w:t>
            </w:r>
          </w:p>
        </w:tc>
        <w:tc>
          <w:tcPr>
            <w:tcW w:w="7045" w:type="dxa"/>
            <w:gridSpan w:val="3"/>
            <w:tcBorders>
              <w:top w:val="single" w:sz="6" w:space="0" w:color="auto"/>
              <w:left w:val="single" w:sz="6" w:space="0" w:color="auto"/>
              <w:bottom w:val="single" w:sz="6" w:space="0" w:color="auto"/>
              <w:right w:val="nil"/>
            </w:tcBorders>
            <w:tcMar>
              <w:left w:w="105" w:type="dxa"/>
              <w:right w:w="105" w:type="dxa"/>
            </w:tcMar>
          </w:tcPr>
          <w:p w14:paraId="4A42FA44" w14:textId="5BFDECB0" w:rsidR="65CAB813" w:rsidRPr="00803A10" w:rsidRDefault="65CAB813" w:rsidP="65CAB813">
            <w:pPr>
              <w:spacing w:line="259" w:lineRule="auto"/>
              <w:rPr>
                <w:rFonts w:ascii="Open Sans" w:eastAsia="Calibri Light" w:hAnsi="Open Sans" w:cs="Open Sans"/>
                <w:color w:val="000000" w:themeColor="text1"/>
                <w:sz w:val="20"/>
                <w:szCs w:val="20"/>
              </w:rPr>
            </w:pPr>
            <w:r w:rsidRPr="00803A10">
              <w:rPr>
                <w:rFonts w:ascii="Open Sans" w:eastAsia="Calibri Light" w:hAnsi="Open Sans" w:cs="Open Sans"/>
                <w:color w:val="000000" w:themeColor="text1"/>
                <w:sz w:val="20"/>
                <w:szCs w:val="20"/>
              </w:rPr>
              <w:t>This SR function was developed using expert opinion, based on field observation and knowledge of literature on Mountain Sucker, the species under which Plains Sucker was previously called.</w:t>
            </w:r>
          </w:p>
        </w:tc>
      </w:tr>
      <w:tr w:rsidR="65CAB813" w14:paraId="7583F119"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504DA801" w14:textId="694EC511" w:rsidR="65CAB813" w:rsidRPr="00803A10" w:rsidRDefault="65CAB813" w:rsidP="65CAB813">
            <w:pPr>
              <w:spacing w:line="259" w:lineRule="auto"/>
              <w:rPr>
                <w:rFonts w:ascii="Open Sans" w:eastAsia="Calibri Light" w:hAnsi="Open Sans" w:cs="Open Sans"/>
                <w:b/>
                <w:bCs/>
                <w:color w:val="2F5496" w:themeColor="accent1" w:themeShade="BF"/>
                <w:sz w:val="28"/>
                <w:szCs w:val="28"/>
              </w:rPr>
            </w:pPr>
            <w:r w:rsidRPr="00803A10">
              <w:rPr>
                <w:rFonts w:ascii="Open Sans" w:eastAsia="Calibri Light" w:hAnsi="Open Sans" w:cs="Open Sans"/>
                <w:b/>
                <w:bCs/>
                <w:color w:val="2F5496" w:themeColor="accent1" w:themeShade="BF"/>
                <w:sz w:val="28"/>
                <w:szCs w:val="28"/>
              </w:rPr>
              <w:t>Shape of SR Function</w:t>
            </w:r>
          </w:p>
        </w:tc>
        <w:tc>
          <w:tcPr>
            <w:tcW w:w="2358" w:type="dxa"/>
            <w:tcBorders>
              <w:top w:val="single" w:sz="6" w:space="0" w:color="auto"/>
              <w:left w:val="single" w:sz="6" w:space="0" w:color="auto"/>
              <w:bottom w:val="single" w:sz="6" w:space="0" w:color="auto"/>
              <w:right w:val="single" w:sz="6" w:space="0" w:color="auto"/>
            </w:tcBorders>
            <w:shd w:val="clear" w:color="auto" w:fill="FFBDBD"/>
            <w:tcMar>
              <w:left w:w="105" w:type="dxa"/>
              <w:right w:w="105" w:type="dxa"/>
            </w:tcMar>
            <w:vAlign w:val="center"/>
          </w:tcPr>
          <w:p w14:paraId="28E4E8FE" w14:textId="3129A451" w:rsidR="65CAB813" w:rsidRPr="00803A10" w:rsidRDefault="65CAB813" w:rsidP="65CAB813">
            <w:pPr>
              <w:spacing w:line="259" w:lineRule="auto"/>
              <w:jc w:val="center"/>
              <w:rPr>
                <w:rFonts w:ascii="Open Sans" w:eastAsia="Calibri Light" w:hAnsi="Open Sans" w:cs="Open Sans"/>
                <w:color w:val="000000" w:themeColor="text1"/>
                <w:sz w:val="56"/>
                <w:szCs w:val="56"/>
              </w:rPr>
            </w:pPr>
            <w:r w:rsidRPr="00803A10">
              <w:rPr>
                <w:rFonts w:ascii="Open Sans" w:eastAsia="Calibri Light" w:hAnsi="Open Sans" w:cs="Open Sans"/>
                <w:b/>
                <w:bCs/>
                <w:color w:val="000000" w:themeColor="text1"/>
                <w:sz w:val="56"/>
                <w:szCs w:val="56"/>
              </w:rPr>
              <w:t>X</w:t>
            </w:r>
          </w:p>
        </w:tc>
        <w:tc>
          <w:tcPr>
            <w:tcW w:w="2430" w:type="dxa"/>
            <w:tcBorders>
              <w:top w:val="single" w:sz="6" w:space="0" w:color="auto"/>
              <w:left w:val="single" w:sz="6" w:space="0" w:color="auto"/>
              <w:bottom w:val="single" w:sz="6" w:space="0" w:color="auto"/>
              <w:right w:val="single" w:sz="6" w:space="0" w:color="auto"/>
            </w:tcBorders>
            <w:shd w:val="clear" w:color="auto" w:fill="FFE599" w:themeFill="accent4" w:themeFillTint="66"/>
            <w:tcMar>
              <w:left w:w="105" w:type="dxa"/>
              <w:right w:w="105" w:type="dxa"/>
            </w:tcMar>
          </w:tcPr>
          <w:p w14:paraId="63DE197F" w14:textId="14518D36" w:rsidR="65CAB813" w:rsidRPr="00803A10" w:rsidRDefault="65CAB813" w:rsidP="65CAB813">
            <w:pPr>
              <w:spacing w:line="259" w:lineRule="auto"/>
              <w:rPr>
                <w:rFonts w:ascii="Open Sans" w:eastAsia="Calibri Light" w:hAnsi="Open Sans" w:cs="Open Sans"/>
                <w:color w:val="000000" w:themeColor="text1"/>
                <w:sz w:val="20"/>
                <w:szCs w:val="20"/>
              </w:rPr>
            </w:pPr>
          </w:p>
        </w:tc>
        <w:tc>
          <w:tcPr>
            <w:tcW w:w="2257" w:type="dxa"/>
            <w:tcBorders>
              <w:top w:val="single" w:sz="6" w:space="0" w:color="auto"/>
              <w:left w:val="single" w:sz="6" w:space="0" w:color="auto"/>
              <w:bottom w:val="single" w:sz="6" w:space="0" w:color="auto"/>
              <w:right w:val="nil"/>
            </w:tcBorders>
            <w:shd w:val="clear" w:color="auto" w:fill="C5E0B3" w:themeFill="accent6" w:themeFillTint="66"/>
            <w:tcMar>
              <w:left w:w="105" w:type="dxa"/>
              <w:right w:w="105" w:type="dxa"/>
            </w:tcMar>
          </w:tcPr>
          <w:p w14:paraId="546D6C4E" w14:textId="54BF233E" w:rsidR="65CAB813" w:rsidRPr="00803A10" w:rsidRDefault="65CAB813" w:rsidP="65CAB813">
            <w:pPr>
              <w:spacing w:line="259" w:lineRule="auto"/>
              <w:rPr>
                <w:rFonts w:ascii="Open Sans" w:eastAsia="Calibri Light" w:hAnsi="Open Sans" w:cs="Open Sans"/>
                <w:color w:val="000000" w:themeColor="text1"/>
                <w:sz w:val="20"/>
                <w:szCs w:val="20"/>
              </w:rPr>
            </w:pPr>
          </w:p>
        </w:tc>
      </w:tr>
      <w:tr w:rsidR="65CAB813" w14:paraId="58723811"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491C99F3" w14:textId="04110FB0" w:rsidR="65CAB813" w:rsidRPr="00803A10" w:rsidRDefault="65CAB813" w:rsidP="65CAB813">
            <w:pPr>
              <w:spacing w:line="259" w:lineRule="auto"/>
              <w:rPr>
                <w:rFonts w:ascii="Open Sans" w:eastAsia="Calibri Light" w:hAnsi="Open Sans" w:cs="Open Sans"/>
                <w:color w:val="2F5496" w:themeColor="accent1" w:themeShade="BF"/>
              </w:rPr>
            </w:pPr>
            <w:r w:rsidRPr="00803A10">
              <w:rPr>
                <w:rFonts w:ascii="Open Sans" w:eastAsia="Calibri Light" w:hAnsi="Open Sans" w:cs="Open Sans"/>
                <w:color w:val="2F5496" w:themeColor="accent1" w:themeShade="BF"/>
              </w:rPr>
              <w:t xml:space="preserve"> Rationale --&gt;</w:t>
            </w:r>
          </w:p>
        </w:tc>
        <w:tc>
          <w:tcPr>
            <w:tcW w:w="7045" w:type="dxa"/>
            <w:gridSpan w:val="3"/>
            <w:tcBorders>
              <w:top w:val="single" w:sz="6" w:space="0" w:color="auto"/>
              <w:left w:val="single" w:sz="6" w:space="0" w:color="auto"/>
              <w:bottom w:val="single" w:sz="6" w:space="0" w:color="auto"/>
              <w:right w:val="nil"/>
            </w:tcBorders>
            <w:tcMar>
              <w:left w:w="105" w:type="dxa"/>
              <w:right w:w="105" w:type="dxa"/>
            </w:tcMar>
          </w:tcPr>
          <w:p w14:paraId="151FBA28" w14:textId="3E01BF6A" w:rsidR="65CAB813" w:rsidRPr="00803A10" w:rsidRDefault="65CAB813" w:rsidP="65CAB813">
            <w:pPr>
              <w:spacing w:line="259" w:lineRule="auto"/>
              <w:rPr>
                <w:rFonts w:ascii="Open Sans" w:eastAsia="Calibri Light" w:hAnsi="Open Sans" w:cs="Open Sans"/>
                <w:color w:val="000000" w:themeColor="text1"/>
                <w:sz w:val="20"/>
                <w:szCs w:val="20"/>
              </w:rPr>
            </w:pPr>
            <w:r w:rsidRPr="00803A10">
              <w:rPr>
                <w:rFonts w:ascii="Open Sans" w:eastAsia="Calibri Light" w:hAnsi="Open Sans" w:cs="Open Sans"/>
                <w:color w:val="000000" w:themeColor="text1"/>
                <w:sz w:val="20"/>
                <w:szCs w:val="20"/>
              </w:rPr>
              <w:t>The general shape of the function is likely correct but minimum and maximum values are estimated.</w:t>
            </w:r>
          </w:p>
        </w:tc>
      </w:tr>
      <w:tr w:rsidR="65CAB813" w14:paraId="69560489"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53441C51" w14:textId="1D93D0BC" w:rsidR="65CAB813" w:rsidRPr="00803A10" w:rsidRDefault="65CAB813" w:rsidP="65CAB813">
            <w:pPr>
              <w:spacing w:line="259" w:lineRule="auto"/>
              <w:rPr>
                <w:rFonts w:ascii="Open Sans" w:eastAsia="Calibri Light" w:hAnsi="Open Sans" w:cs="Open Sans"/>
                <w:b/>
                <w:bCs/>
                <w:color w:val="2F5496" w:themeColor="accent1" w:themeShade="BF"/>
                <w:sz w:val="28"/>
                <w:szCs w:val="28"/>
              </w:rPr>
            </w:pPr>
            <w:r w:rsidRPr="00803A10">
              <w:rPr>
                <w:rFonts w:ascii="Open Sans" w:eastAsia="Calibri Light" w:hAnsi="Open Sans" w:cs="Open Sans"/>
                <w:b/>
                <w:bCs/>
                <w:color w:val="2F5496" w:themeColor="accent1" w:themeShade="BF"/>
                <w:sz w:val="28"/>
                <w:szCs w:val="28"/>
              </w:rPr>
              <w:t>Data Variance/</w:t>
            </w:r>
          </w:p>
          <w:p w14:paraId="5BDCA36A" w14:textId="4977D27A" w:rsidR="65CAB813" w:rsidRPr="00803A10" w:rsidRDefault="65CAB813" w:rsidP="65CAB813">
            <w:pPr>
              <w:spacing w:line="259" w:lineRule="auto"/>
              <w:rPr>
                <w:rFonts w:ascii="Open Sans" w:eastAsia="Calibri Light" w:hAnsi="Open Sans" w:cs="Open Sans"/>
                <w:color w:val="2F5496" w:themeColor="accent1" w:themeShade="BF"/>
                <w:sz w:val="28"/>
                <w:szCs w:val="28"/>
              </w:rPr>
            </w:pPr>
            <w:r w:rsidRPr="00803A10">
              <w:rPr>
                <w:rFonts w:ascii="Open Sans" w:eastAsia="Calibri Light" w:hAnsi="Open Sans" w:cs="Open Sans"/>
                <w:b/>
                <w:bCs/>
                <w:color w:val="2F5496" w:themeColor="accent1" w:themeShade="BF"/>
                <w:sz w:val="28"/>
                <w:szCs w:val="28"/>
              </w:rPr>
              <w:t>Consistency</w:t>
            </w:r>
          </w:p>
        </w:tc>
        <w:tc>
          <w:tcPr>
            <w:tcW w:w="2358" w:type="dxa"/>
            <w:tcBorders>
              <w:top w:val="single" w:sz="6" w:space="0" w:color="auto"/>
              <w:left w:val="single" w:sz="6" w:space="0" w:color="auto"/>
              <w:bottom w:val="single" w:sz="6" w:space="0" w:color="auto"/>
              <w:right w:val="single" w:sz="6" w:space="0" w:color="auto"/>
            </w:tcBorders>
            <w:shd w:val="clear" w:color="auto" w:fill="FFBDBD"/>
            <w:tcMar>
              <w:left w:w="105" w:type="dxa"/>
              <w:right w:w="105" w:type="dxa"/>
            </w:tcMar>
            <w:vAlign w:val="center"/>
          </w:tcPr>
          <w:p w14:paraId="62996282" w14:textId="4413462A" w:rsidR="65CAB813" w:rsidRPr="00803A10" w:rsidRDefault="65CAB813" w:rsidP="65CAB813">
            <w:pPr>
              <w:spacing w:line="259" w:lineRule="auto"/>
              <w:jc w:val="center"/>
              <w:rPr>
                <w:rFonts w:ascii="Open Sans" w:eastAsia="Calibri Light" w:hAnsi="Open Sans" w:cs="Open Sans"/>
                <w:color w:val="000000" w:themeColor="text1"/>
                <w:sz w:val="56"/>
                <w:szCs w:val="56"/>
              </w:rPr>
            </w:pPr>
            <w:r w:rsidRPr="00803A10">
              <w:rPr>
                <w:rFonts w:ascii="Open Sans" w:eastAsia="Calibri Light" w:hAnsi="Open Sans" w:cs="Open Sans"/>
                <w:b/>
                <w:bCs/>
                <w:color w:val="000000" w:themeColor="text1"/>
                <w:sz w:val="56"/>
                <w:szCs w:val="56"/>
              </w:rPr>
              <w:t>X</w:t>
            </w:r>
            <w:r w:rsidRPr="00803A10">
              <w:rPr>
                <w:rFonts w:ascii="Open Sans" w:eastAsia="Calibri Light" w:hAnsi="Open Sans" w:cs="Open Sans"/>
                <w:color w:val="000000" w:themeColor="text1"/>
                <w:sz w:val="56"/>
                <w:szCs w:val="56"/>
              </w:rPr>
              <w:t xml:space="preserve"> </w:t>
            </w:r>
          </w:p>
        </w:tc>
        <w:tc>
          <w:tcPr>
            <w:tcW w:w="2430" w:type="dxa"/>
            <w:tcBorders>
              <w:top w:val="single" w:sz="6" w:space="0" w:color="auto"/>
              <w:left w:val="single" w:sz="6" w:space="0" w:color="auto"/>
              <w:bottom w:val="single" w:sz="6" w:space="0" w:color="auto"/>
              <w:right w:val="single" w:sz="6" w:space="0" w:color="auto"/>
            </w:tcBorders>
            <w:shd w:val="clear" w:color="auto" w:fill="FFE599" w:themeFill="accent4" w:themeFillTint="66"/>
            <w:tcMar>
              <w:left w:w="105" w:type="dxa"/>
              <w:right w:w="105" w:type="dxa"/>
            </w:tcMar>
          </w:tcPr>
          <w:p w14:paraId="0C87E20C" w14:textId="4C2CD665" w:rsidR="65CAB813" w:rsidRPr="00803A10" w:rsidRDefault="65CAB813" w:rsidP="65CAB813">
            <w:pPr>
              <w:spacing w:line="259" w:lineRule="auto"/>
              <w:rPr>
                <w:rFonts w:ascii="Open Sans" w:eastAsia="Calibri Light" w:hAnsi="Open Sans" w:cs="Open Sans"/>
                <w:color w:val="000000" w:themeColor="text1"/>
                <w:sz w:val="20"/>
                <w:szCs w:val="20"/>
              </w:rPr>
            </w:pPr>
          </w:p>
        </w:tc>
        <w:tc>
          <w:tcPr>
            <w:tcW w:w="2257" w:type="dxa"/>
            <w:tcBorders>
              <w:top w:val="single" w:sz="6" w:space="0" w:color="auto"/>
              <w:left w:val="single" w:sz="6" w:space="0" w:color="auto"/>
              <w:bottom w:val="single" w:sz="6" w:space="0" w:color="auto"/>
              <w:right w:val="nil"/>
            </w:tcBorders>
            <w:shd w:val="clear" w:color="auto" w:fill="C5E0B3" w:themeFill="accent6" w:themeFillTint="66"/>
            <w:tcMar>
              <w:left w:w="105" w:type="dxa"/>
              <w:right w:w="105" w:type="dxa"/>
            </w:tcMar>
          </w:tcPr>
          <w:p w14:paraId="421406B9" w14:textId="362D6F24" w:rsidR="65CAB813" w:rsidRPr="00803A10" w:rsidRDefault="65CAB813" w:rsidP="65CAB813">
            <w:pPr>
              <w:spacing w:line="259" w:lineRule="auto"/>
              <w:rPr>
                <w:rFonts w:ascii="Open Sans" w:eastAsia="Calibri Light" w:hAnsi="Open Sans" w:cs="Open Sans"/>
                <w:color w:val="000000" w:themeColor="text1"/>
                <w:sz w:val="20"/>
                <w:szCs w:val="20"/>
              </w:rPr>
            </w:pPr>
          </w:p>
        </w:tc>
      </w:tr>
      <w:tr w:rsidR="65CAB813" w14:paraId="26ED8B30"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6A2719BA" w14:textId="0E3BC05C" w:rsidR="65CAB813" w:rsidRPr="00803A10" w:rsidRDefault="65CAB813" w:rsidP="65CAB813">
            <w:pPr>
              <w:spacing w:line="259" w:lineRule="auto"/>
              <w:rPr>
                <w:rFonts w:ascii="Open Sans" w:eastAsia="Calibri Light" w:hAnsi="Open Sans" w:cs="Open Sans"/>
                <w:color w:val="2F5496" w:themeColor="accent1" w:themeShade="BF"/>
              </w:rPr>
            </w:pPr>
            <w:r w:rsidRPr="00803A10">
              <w:rPr>
                <w:rFonts w:ascii="Open Sans" w:eastAsia="Calibri Light" w:hAnsi="Open Sans" w:cs="Open Sans"/>
                <w:color w:val="2F5496" w:themeColor="accent1" w:themeShade="BF"/>
              </w:rPr>
              <w:t xml:space="preserve"> Rationale --&gt;</w:t>
            </w:r>
          </w:p>
        </w:tc>
        <w:tc>
          <w:tcPr>
            <w:tcW w:w="7045" w:type="dxa"/>
            <w:gridSpan w:val="3"/>
            <w:tcBorders>
              <w:top w:val="single" w:sz="6" w:space="0" w:color="auto"/>
              <w:left w:val="single" w:sz="6" w:space="0" w:color="auto"/>
              <w:bottom w:val="single" w:sz="6" w:space="0" w:color="auto"/>
              <w:right w:val="nil"/>
            </w:tcBorders>
            <w:tcMar>
              <w:left w:w="105" w:type="dxa"/>
              <w:right w:w="105" w:type="dxa"/>
            </w:tcMar>
          </w:tcPr>
          <w:p w14:paraId="4DBC3489" w14:textId="67D27151" w:rsidR="65CAB813" w:rsidRPr="00803A10" w:rsidRDefault="65CAB813" w:rsidP="65CAB813">
            <w:pPr>
              <w:spacing w:line="259" w:lineRule="auto"/>
              <w:rPr>
                <w:rFonts w:ascii="Open Sans" w:eastAsia="Calibri Light" w:hAnsi="Open Sans" w:cs="Open Sans"/>
                <w:color w:val="000000" w:themeColor="text1"/>
                <w:sz w:val="20"/>
                <w:szCs w:val="20"/>
              </w:rPr>
            </w:pPr>
            <w:r w:rsidRPr="00803A10">
              <w:rPr>
                <w:rFonts w:ascii="Open Sans" w:eastAsia="Calibri Light" w:hAnsi="Open Sans" w:cs="Open Sans"/>
                <w:color w:val="000000" w:themeColor="text1"/>
                <w:sz w:val="20"/>
                <w:szCs w:val="20"/>
              </w:rPr>
              <w:t>Since the SR function was developed from expert opinion there is no data to compare to the curve, nor to show consistency within or among populations.</w:t>
            </w:r>
          </w:p>
        </w:tc>
      </w:tr>
      <w:tr w:rsidR="65CAB813" w14:paraId="3A2971EB"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72C731A4" w14:textId="633130BA" w:rsidR="65CAB813" w:rsidRPr="00803A10" w:rsidRDefault="65CAB813" w:rsidP="65CAB813">
            <w:pPr>
              <w:spacing w:line="259" w:lineRule="auto"/>
              <w:rPr>
                <w:rFonts w:ascii="Open Sans" w:eastAsia="Calibri Light" w:hAnsi="Open Sans" w:cs="Open Sans"/>
                <w:b/>
                <w:bCs/>
                <w:color w:val="2F5496" w:themeColor="accent1" w:themeShade="BF"/>
                <w:sz w:val="28"/>
                <w:szCs w:val="28"/>
              </w:rPr>
            </w:pPr>
            <w:r w:rsidRPr="00803A10">
              <w:rPr>
                <w:rFonts w:ascii="Open Sans" w:eastAsia="Calibri Light" w:hAnsi="Open Sans" w:cs="Open Sans"/>
                <w:b/>
                <w:bCs/>
                <w:color w:val="2F5496" w:themeColor="accent1" w:themeShade="BF"/>
                <w:sz w:val="28"/>
                <w:szCs w:val="28"/>
              </w:rPr>
              <w:t>Applicability to System</w:t>
            </w:r>
          </w:p>
        </w:tc>
        <w:tc>
          <w:tcPr>
            <w:tcW w:w="2358" w:type="dxa"/>
            <w:tcBorders>
              <w:top w:val="single" w:sz="6" w:space="0" w:color="auto"/>
              <w:left w:val="single" w:sz="6" w:space="0" w:color="auto"/>
              <w:bottom w:val="single" w:sz="6" w:space="0" w:color="auto"/>
              <w:right w:val="single" w:sz="6" w:space="0" w:color="auto"/>
            </w:tcBorders>
            <w:shd w:val="clear" w:color="auto" w:fill="FFBDBD"/>
            <w:tcMar>
              <w:left w:w="105" w:type="dxa"/>
              <w:right w:w="105" w:type="dxa"/>
            </w:tcMar>
          </w:tcPr>
          <w:p w14:paraId="1E527B18" w14:textId="4967EFAC" w:rsidR="65CAB813" w:rsidRPr="00803A10" w:rsidRDefault="65CAB813" w:rsidP="65CAB813">
            <w:pPr>
              <w:spacing w:line="259" w:lineRule="auto"/>
              <w:rPr>
                <w:rFonts w:ascii="Open Sans" w:eastAsia="Calibri Light" w:hAnsi="Open Sans" w:cs="Open Sans"/>
                <w:color w:val="000000" w:themeColor="text1"/>
                <w:sz w:val="20"/>
                <w:szCs w:val="20"/>
              </w:rPr>
            </w:pPr>
          </w:p>
        </w:tc>
        <w:tc>
          <w:tcPr>
            <w:tcW w:w="2430" w:type="dxa"/>
            <w:tcBorders>
              <w:top w:val="single" w:sz="6" w:space="0" w:color="auto"/>
              <w:left w:val="single" w:sz="6" w:space="0" w:color="auto"/>
              <w:bottom w:val="single" w:sz="6" w:space="0" w:color="auto"/>
              <w:right w:val="single" w:sz="6" w:space="0" w:color="auto"/>
            </w:tcBorders>
            <w:shd w:val="clear" w:color="auto" w:fill="FFE599" w:themeFill="accent4" w:themeFillTint="66"/>
            <w:tcMar>
              <w:left w:w="105" w:type="dxa"/>
              <w:right w:w="105" w:type="dxa"/>
            </w:tcMar>
            <w:vAlign w:val="center"/>
          </w:tcPr>
          <w:p w14:paraId="6C737B2C" w14:textId="3C3EE9DE" w:rsidR="65CAB813" w:rsidRPr="00803A10" w:rsidRDefault="65CAB813" w:rsidP="65CAB813">
            <w:pPr>
              <w:spacing w:line="259" w:lineRule="auto"/>
              <w:jc w:val="center"/>
              <w:rPr>
                <w:rFonts w:ascii="Open Sans" w:eastAsia="Calibri Light" w:hAnsi="Open Sans" w:cs="Open Sans"/>
                <w:color w:val="000000" w:themeColor="text1"/>
                <w:sz w:val="56"/>
                <w:szCs w:val="56"/>
              </w:rPr>
            </w:pPr>
            <w:r w:rsidRPr="00803A10">
              <w:rPr>
                <w:rFonts w:ascii="Open Sans" w:eastAsia="Calibri Light" w:hAnsi="Open Sans" w:cs="Open Sans"/>
                <w:b/>
                <w:bCs/>
                <w:color w:val="000000" w:themeColor="text1"/>
                <w:sz w:val="56"/>
                <w:szCs w:val="56"/>
              </w:rPr>
              <w:t>X</w:t>
            </w:r>
          </w:p>
        </w:tc>
        <w:tc>
          <w:tcPr>
            <w:tcW w:w="2257" w:type="dxa"/>
            <w:tcBorders>
              <w:top w:val="single" w:sz="6" w:space="0" w:color="auto"/>
              <w:left w:val="single" w:sz="6" w:space="0" w:color="auto"/>
              <w:bottom w:val="single" w:sz="6" w:space="0" w:color="auto"/>
              <w:right w:val="nil"/>
            </w:tcBorders>
            <w:shd w:val="clear" w:color="auto" w:fill="C5E0B3" w:themeFill="accent6" w:themeFillTint="66"/>
            <w:tcMar>
              <w:left w:w="105" w:type="dxa"/>
              <w:right w:w="105" w:type="dxa"/>
            </w:tcMar>
          </w:tcPr>
          <w:p w14:paraId="7A973631" w14:textId="5D498EC8" w:rsidR="65CAB813" w:rsidRPr="00803A10" w:rsidRDefault="65CAB813" w:rsidP="65CAB813">
            <w:pPr>
              <w:spacing w:line="259" w:lineRule="auto"/>
              <w:rPr>
                <w:rFonts w:ascii="Open Sans" w:eastAsia="Calibri Light" w:hAnsi="Open Sans" w:cs="Open Sans"/>
                <w:color w:val="000000" w:themeColor="text1"/>
                <w:sz w:val="20"/>
                <w:szCs w:val="20"/>
              </w:rPr>
            </w:pPr>
          </w:p>
        </w:tc>
      </w:tr>
      <w:tr w:rsidR="65CAB813" w14:paraId="0D50C624"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2A8B516E" w14:textId="7EBBDB9E" w:rsidR="65CAB813" w:rsidRPr="00803A10" w:rsidRDefault="65CAB813" w:rsidP="65CAB813">
            <w:pPr>
              <w:spacing w:line="259" w:lineRule="auto"/>
              <w:rPr>
                <w:rFonts w:ascii="Open Sans" w:eastAsia="Calibri Light" w:hAnsi="Open Sans" w:cs="Open Sans"/>
                <w:color w:val="2F5496" w:themeColor="accent1" w:themeShade="BF"/>
              </w:rPr>
            </w:pPr>
            <w:r w:rsidRPr="00803A10">
              <w:rPr>
                <w:rFonts w:ascii="Open Sans" w:eastAsia="Calibri Light" w:hAnsi="Open Sans" w:cs="Open Sans"/>
                <w:color w:val="2F5496" w:themeColor="accent1" w:themeShade="BF"/>
              </w:rPr>
              <w:t xml:space="preserve"> Rationale --&gt;</w:t>
            </w:r>
          </w:p>
        </w:tc>
        <w:tc>
          <w:tcPr>
            <w:tcW w:w="7045" w:type="dxa"/>
            <w:gridSpan w:val="3"/>
            <w:tcBorders>
              <w:top w:val="single" w:sz="6" w:space="0" w:color="auto"/>
              <w:left w:val="single" w:sz="6" w:space="0" w:color="auto"/>
              <w:bottom w:val="single" w:sz="6" w:space="0" w:color="auto"/>
              <w:right w:val="nil"/>
            </w:tcBorders>
            <w:tcMar>
              <w:left w:w="105" w:type="dxa"/>
              <w:right w:w="105" w:type="dxa"/>
            </w:tcMar>
          </w:tcPr>
          <w:p w14:paraId="64B7A306" w14:textId="1EDAF010" w:rsidR="65CAB813" w:rsidRPr="00803A10" w:rsidRDefault="65CAB813" w:rsidP="65CAB813">
            <w:pPr>
              <w:spacing w:line="259" w:lineRule="auto"/>
              <w:rPr>
                <w:rFonts w:ascii="Open Sans" w:eastAsia="Calibri Light" w:hAnsi="Open Sans" w:cs="Open Sans"/>
                <w:color w:val="000000" w:themeColor="text1"/>
                <w:sz w:val="20"/>
                <w:szCs w:val="20"/>
              </w:rPr>
            </w:pPr>
            <w:r w:rsidRPr="00803A10">
              <w:rPr>
                <w:rFonts w:ascii="Open Sans" w:eastAsia="Calibri Light" w:hAnsi="Open Sans" w:cs="Open Sans"/>
                <w:color w:val="000000" w:themeColor="text1"/>
                <w:sz w:val="20"/>
                <w:szCs w:val="20"/>
              </w:rPr>
              <w:t>This SR function was developed from expert opinion based on field observation of Plains Sucker, and thus are specific to the Missouri River drainage and Saskatchewan-Nelson drainage during summer months. There is no age-specific data available.</w:t>
            </w:r>
          </w:p>
        </w:tc>
      </w:tr>
      <w:tr w:rsidR="65CAB813" w14:paraId="7397454E"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32264806" w14:textId="6A9344AF" w:rsidR="65CAB813" w:rsidRPr="00803A10" w:rsidRDefault="65CAB813" w:rsidP="65CAB813">
            <w:pPr>
              <w:spacing w:line="259" w:lineRule="auto"/>
              <w:rPr>
                <w:rFonts w:ascii="Open Sans" w:eastAsia="Calibri Light" w:hAnsi="Open Sans" w:cs="Open Sans"/>
                <w:b/>
                <w:bCs/>
                <w:color w:val="2F5496" w:themeColor="accent1" w:themeShade="BF"/>
                <w:sz w:val="28"/>
                <w:szCs w:val="28"/>
              </w:rPr>
            </w:pPr>
            <w:r w:rsidRPr="00803A10">
              <w:rPr>
                <w:rFonts w:ascii="Open Sans" w:eastAsia="Calibri Light" w:hAnsi="Open Sans" w:cs="Open Sans"/>
                <w:b/>
                <w:bCs/>
                <w:color w:val="2F5496" w:themeColor="accent1" w:themeShade="BF"/>
                <w:sz w:val="28"/>
                <w:szCs w:val="28"/>
              </w:rPr>
              <w:t xml:space="preserve">Potential Stressor Interactions </w:t>
            </w:r>
          </w:p>
        </w:tc>
        <w:tc>
          <w:tcPr>
            <w:tcW w:w="2358" w:type="dxa"/>
            <w:tcBorders>
              <w:top w:val="single" w:sz="6" w:space="0" w:color="auto"/>
              <w:left w:val="single" w:sz="6" w:space="0" w:color="auto"/>
              <w:bottom w:val="single" w:sz="6" w:space="0" w:color="auto"/>
              <w:right w:val="single" w:sz="6" w:space="0" w:color="auto"/>
            </w:tcBorders>
            <w:shd w:val="clear" w:color="auto" w:fill="FFBDBD"/>
            <w:tcMar>
              <w:left w:w="105" w:type="dxa"/>
              <w:right w:w="105" w:type="dxa"/>
            </w:tcMar>
            <w:vAlign w:val="center"/>
          </w:tcPr>
          <w:p w14:paraId="3D0C019E" w14:textId="5AE43E2A" w:rsidR="65CAB813" w:rsidRPr="00803A10" w:rsidRDefault="65CAB813" w:rsidP="65CAB813">
            <w:pPr>
              <w:spacing w:line="259" w:lineRule="auto"/>
              <w:jc w:val="center"/>
              <w:rPr>
                <w:rFonts w:ascii="Open Sans" w:eastAsia="Calibri Light" w:hAnsi="Open Sans" w:cs="Open Sans"/>
                <w:color w:val="000000" w:themeColor="text1"/>
                <w:sz w:val="56"/>
                <w:szCs w:val="56"/>
              </w:rPr>
            </w:pPr>
            <w:r w:rsidRPr="00803A10">
              <w:rPr>
                <w:rFonts w:ascii="Open Sans" w:eastAsia="Calibri Light" w:hAnsi="Open Sans" w:cs="Open Sans"/>
                <w:b/>
                <w:bCs/>
                <w:color w:val="000000" w:themeColor="text1"/>
                <w:sz w:val="56"/>
                <w:szCs w:val="56"/>
              </w:rPr>
              <w:t>X</w:t>
            </w:r>
          </w:p>
        </w:tc>
        <w:tc>
          <w:tcPr>
            <w:tcW w:w="2430" w:type="dxa"/>
            <w:tcBorders>
              <w:top w:val="single" w:sz="6" w:space="0" w:color="auto"/>
              <w:left w:val="single" w:sz="6" w:space="0" w:color="auto"/>
              <w:bottom w:val="single" w:sz="6" w:space="0" w:color="auto"/>
              <w:right w:val="single" w:sz="6" w:space="0" w:color="auto"/>
            </w:tcBorders>
            <w:shd w:val="clear" w:color="auto" w:fill="FFE599" w:themeFill="accent4" w:themeFillTint="66"/>
            <w:tcMar>
              <w:left w:w="105" w:type="dxa"/>
              <w:right w:w="105" w:type="dxa"/>
            </w:tcMar>
          </w:tcPr>
          <w:p w14:paraId="2CEBA38B" w14:textId="7E2ED001" w:rsidR="65CAB813" w:rsidRPr="00803A10" w:rsidRDefault="65CAB813" w:rsidP="65CAB813">
            <w:pPr>
              <w:spacing w:line="259" w:lineRule="auto"/>
              <w:rPr>
                <w:rFonts w:ascii="Open Sans" w:eastAsia="Calibri Light" w:hAnsi="Open Sans" w:cs="Open Sans"/>
                <w:color w:val="000000" w:themeColor="text1"/>
                <w:sz w:val="20"/>
                <w:szCs w:val="20"/>
              </w:rPr>
            </w:pPr>
          </w:p>
        </w:tc>
        <w:tc>
          <w:tcPr>
            <w:tcW w:w="2257" w:type="dxa"/>
            <w:tcBorders>
              <w:top w:val="single" w:sz="6" w:space="0" w:color="auto"/>
              <w:left w:val="single" w:sz="6" w:space="0" w:color="auto"/>
              <w:bottom w:val="single" w:sz="6" w:space="0" w:color="auto"/>
              <w:right w:val="nil"/>
            </w:tcBorders>
            <w:shd w:val="clear" w:color="auto" w:fill="C5E0B3" w:themeFill="accent6" w:themeFillTint="66"/>
            <w:tcMar>
              <w:left w:w="105" w:type="dxa"/>
              <w:right w:w="105" w:type="dxa"/>
            </w:tcMar>
          </w:tcPr>
          <w:p w14:paraId="1A4F3F83" w14:textId="5AC7C6AB" w:rsidR="65CAB813" w:rsidRPr="00803A10" w:rsidRDefault="65CAB813" w:rsidP="65CAB813">
            <w:pPr>
              <w:spacing w:line="259" w:lineRule="auto"/>
              <w:rPr>
                <w:rFonts w:ascii="Open Sans" w:eastAsia="Calibri Light" w:hAnsi="Open Sans" w:cs="Open Sans"/>
                <w:color w:val="000000" w:themeColor="text1"/>
                <w:sz w:val="20"/>
                <w:szCs w:val="20"/>
              </w:rPr>
            </w:pPr>
          </w:p>
        </w:tc>
      </w:tr>
      <w:tr w:rsidR="65CAB813" w14:paraId="5D6D94BA" w14:textId="77777777" w:rsidTr="65CAB813">
        <w:trPr>
          <w:trHeight w:val="300"/>
        </w:trPr>
        <w:tc>
          <w:tcPr>
            <w:tcW w:w="2315" w:type="dxa"/>
            <w:tcBorders>
              <w:top w:val="single" w:sz="6" w:space="0" w:color="auto"/>
              <w:left w:val="nil"/>
              <w:bottom w:val="single" w:sz="6" w:space="0" w:color="auto"/>
              <w:right w:val="single" w:sz="6" w:space="0" w:color="auto"/>
            </w:tcBorders>
            <w:tcMar>
              <w:left w:w="105" w:type="dxa"/>
              <w:right w:w="105" w:type="dxa"/>
            </w:tcMar>
          </w:tcPr>
          <w:p w14:paraId="60BA9587" w14:textId="181B1B1E" w:rsidR="65CAB813" w:rsidRPr="00803A10" w:rsidRDefault="65CAB813" w:rsidP="65CAB813">
            <w:pPr>
              <w:spacing w:line="259" w:lineRule="auto"/>
              <w:rPr>
                <w:rFonts w:ascii="Open Sans" w:eastAsia="Calibri Light" w:hAnsi="Open Sans" w:cs="Open Sans"/>
                <w:color w:val="2F5496" w:themeColor="accent1" w:themeShade="BF"/>
              </w:rPr>
            </w:pPr>
            <w:r w:rsidRPr="00803A10">
              <w:rPr>
                <w:rFonts w:ascii="Open Sans" w:eastAsia="Calibri Light" w:hAnsi="Open Sans" w:cs="Open Sans"/>
                <w:color w:val="2F5496" w:themeColor="accent1" w:themeShade="BF"/>
              </w:rPr>
              <w:t xml:space="preserve"> Rationale --&gt;</w:t>
            </w:r>
          </w:p>
        </w:tc>
        <w:tc>
          <w:tcPr>
            <w:tcW w:w="7045" w:type="dxa"/>
            <w:gridSpan w:val="3"/>
            <w:tcBorders>
              <w:top w:val="single" w:sz="6" w:space="0" w:color="auto"/>
              <w:left w:val="single" w:sz="6" w:space="0" w:color="auto"/>
              <w:bottom w:val="single" w:sz="6" w:space="0" w:color="auto"/>
              <w:right w:val="nil"/>
            </w:tcBorders>
            <w:tcMar>
              <w:left w:w="105" w:type="dxa"/>
              <w:right w:w="105" w:type="dxa"/>
            </w:tcMar>
          </w:tcPr>
          <w:p w14:paraId="5103E16F" w14:textId="4FB30ED7" w:rsidR="65CAB813" w:rsidRPr="00803A10" w:rsidRDefault="65CAB813" w:rsidP="65CAB813">
            <w:pPr>
              <w:spacing w:line="259" w:lineRule="auto"/>
              <w:rPr>
                <w:rFonts w:ascii="Open Sans" w:eastAsia="Calibri Light" w:hAnsi="Open Sans" w:cs="Open Sans"/>
                <w:color w:val="000000" w:themeColor="text1"/>
                <w:sz w:val="20"/>
                <w:szCs w:val="20"/>
              </w:rPr>
            </w:pPr>
            <w:r w:rsidRPr="00803A10">
              <w:rPr>
                <w:rFonts w:ascii="Open Sans" w:eastAsia="Calibri Light" w:hAnsi="Open Sans" w:cs="Open Sans"/>
                <w:color w:val="000000" w:themeColor="text1"/>
                <w:sz w:val="20"/>
                <w:szCs w:val="20"/>
              </w:rPr>
              <w:t>There is a high probability that other variables will influence the shape of the stressor-response function. The interaction between temperature (or any other environmental stressor) and DO have not been studied using statistical analysis or in a controlled laboratory setting.</w:t>
            </w:r>
          </w:p>
        </w:tc>
      </w:tr>
    </w:tbl>
    <w:p w14:paraId="133D8AD2" w14:textId="606BCD81" w:rsidR="000E794B" w:rsidRDefault="000E794B" w:rsidP="65CAB813"/>
    <w:p w14:paraId="22C5ACB1" w14:textId="77777777" w:rsidR="00CB754D" w:rsidRDefault="00CB754D" w:rsidP="00CB754D"/>
    <w:p w14:paraId="1535FD05" w14:textId="77D721ED" w:rsidR="000E794B" w:rsidRPr="00705218" w:rsidRDefault="000E794B" w:rsidP="000E794B">
      <w:pPr>
        <w:pStyle w:val="Heading1"/>
        <w:spacing w:before="0" w:line="240" w:lineRule="auto"/>
        <w:rPr>
          <w:rFonts w:ascii="Open Sans SemiBold" w:hAnsi="Open Sans SemiBold" w:cs="Open Sans SemiBold"/>
          <w:color w:val="004848"/>
        </w:rPr>
      </w:pPr>
      <w:r w:rsidRPr="00705218">
        <w:rPr>
          <w:rFonts w:ascii="Open Sans SemiBold" w:hAnsi="Open Sans SemiBold" w:cs="Open Sans SemiBold"/>
          <w:color w:val="004848"/>
        </w:rPr>
        <w:lastRenderedPageBreak/>
        <w:t>Recommended Citation</w:t>
      </w:r>
    </w:p>
    <w:p w14:paraId="7E82EC23" w14:textId="77777777" w:rsidR="00BB39CE" w:rsidRDefault="00BB39CE" w:rsidP="00D147A4">
      <w:pPr>
        <w:spacing w:after="100" w:afterAutospacing="1" w:line="240" w:lineRule="auto"/>
        <w:ind w:left="720" w:hanging="720"/>
        <w:rPr>
          <w:rFonts w:asciiTheme="majorHAnsi" w:hAnsiTheme="majorHAnsi" w:cstheme="majorHAnsi"/>
          <w:sz w:val="24"/>
          <w:szCs w:val="24"/>
        </w:rPr>
      </w:pPr>
    </w:p>
    <w:p w14:paraId="35157701" w14:textId="47B6E004" w:rsidR="00D147A4" w:rsidRPr="00705218" w:rsidRDefault="00D147A4" w:rsidP="00D147A4">
      <w:pPr>
        <w:spacing w:after="100" w:afterAutospacing="1" w:line="240" w:lineRule="auto"/>
        <w:ind w:left="720" w:hanging="720"/>
        <w:rPr>
          <w:rFonts w:ascii="Open Sans" w:hAnsi="Open Sans" w:cs="Open Sans"/>
        </w:rPr>
      </w:pPr>
      <w:r w:rsidRPr="00705218">
        <w:rPr>
          <w:rFonts w:ascii="Open Sans" w:hAnsi="Open Sans" w:cs="Open Sans"/>
        </w:rPr>
        <w:t xml:space="preserve">Jarvis, L. 2022. </w:t>
      </w:r>
      <w:r w:rsidR="000908B0" w:rsidRPr="00705218">
        <w:rPr>
          <w:rFonts w:ascii="Open Sans" w:hAnsi="Open Sans" w:cs="Open Sans"/>
        </w:rPr>
        <w:t>Habitat loss</w:t>
      </w:r>
      <w:r w:rsidR="00C0513D" w:rsidRPr="00705218">
        <w:rPr>
          <w:rFonts w:ascii="Open Sans" w:hAnsi="Open Sans" w:cs="Open Sans"/>
        </w:rPr>
        <w:t xml:space="preserve"> </w:t>
      </w:r>
      <w:r w:rsidRPr="00705218">
        <w:rPr>
          <w:rFonts w:ascii="Open Sans" w:hAnsi="Open Sans" w:cs="Open Sans"/>
        </w:rPr>
        <w:t xml:space="preserve">stressor-response function for </w:t>
      </w:r>
      <w:r w:rsidR="00C0513D" w:rsidRPr="00705218">
        <w:rPr>
          <w:rFonts w:ascii="Open Sans" w:hAnsi="Open Sans" w:cs="Open Sans"/>
        </w:rPr>
        <w:t>Plains Sucker</w:t>
      </w:r>
      <w:r w:rsidRPr="00705218">
        <w:rPr>
          <w:rFonts w:ascii="Open Sans" w:hAnsi="Open Sans" w:cs="Open Sans"/>
        </w:rPr>
        <w:t xml:space="preserve">.  </w:t>
      </w:r>
      <w:r w:rsidR="00C0513D" w:rsidRPr="00705218">
        <w:rPr>
          <w:rFonts w:ascii="Open Sans" w:hAnsi="Open Sans" w:cs="Open Sans"/>
        </w:rPr>
        <w:t>Department of Fisheries and Oceans</w:t>
      </w:r>
      <w:r w:rsidRPr="00705218">
        <w:rPr>
          <w:rFonts w:ascii="Open Sans" w:hAnsi="Open Sans" w:cs="Open Sans"/>
        </w:rPr>
        <w:t xml:space="preserve"> CEMPRA model for </w:t>
      </w:r>
      <w:r w:rsidR="00C0513D" w:rsidRPr="00705218">
        <w:rPr>
          <w:rFonts w:ascii="Open Sans" w:hAnsi="Open Sans" w:cs="Open Sans"/>
        </w:rPr>
        <w:t>Plains Sucker</w:t>
      </w:r>
      <w:r w:rsidRPr="00705218">
        <w:rPr>
          <w:rFonts w:ascii="Open Sans" w:hAnsi="Open Sans" w:cs="Open Sans"/>
        </w:rPr>
        <w:t>.</w:t>
      </w:r>
    </w:p>
    <w:p w14:paraId="4A9E6BFF" w14:textId="746F4A54" w:rsidR="00C5276A" w:rsidRDefault="00C5276A" w:rsidP="00C5276A">
      <w:pPr>
        <w:rPr>
          <w:rFonts w:ascii="Segoe UI" w:hAnsi="Segoe UI" w:cs="Segoe UI"/>
        </w:rPr>
      </w:pPr>
    </w:p>
    <w:p w14:paraId="23819701" w14:textId="77777777" w:rsidR="00B93E65" w:rsidRPr="00B93E65" w:rsidRDefault="00B93E65" w:rsidP="00B93E65">
      <w:pPr>
        <w:rPr>
          <w:rFonts w:eastAsiaTheme="minorHAnsi"/>
          <w:kern w:val="2"/>
          <w:sz w:val="20"/>
          <w:szCs w:val="20"/>
          <w14:ligatures w14:val="standardContextual"/>
        </w:rPr>
      </w:pPr>
    </w:p>
    <w:p w14:paraId="40BF1CA5" w14:textId="77777777" w:rsidR="00EA4481" w:rsidRPr="00CE7299" w:rsidRDefault="00EA4481" w:rsidP="00EA4481">
      <w:pPr>
        <w:rPr>
          <w:rFonts w:ascii="Segoe UI" w:hAnsi="Segoe UI" w:cs="Segoe UI"/>
          <w:b/>
          <w:bCs/>
          <w:color w:val="4472C4" w:themeColor="accent1"/>
        </w:rPr>
      </w:pPr>
      <w:r w:rsidRPr="00CE7299">
        <w:rPr>
          <w:rFonts w:ascii="Segoe UI" w:hAnsi="Segoe UI" w:cs="Segoe UI"/>
          <w:b/>
          <w:bCs/>
          <w:color w:val="4472C4" w:themeColor="accent1"/>
          <w:sz w:val="24"/>
          <w:szCs w:val="24"/>
        </w:rPr>
        <w:t>_____________________________________________________________________________________________</w:t>
      </w:r>
    </w:p>
    <w:p w14:paraId="080AFBD3" w14:textId="3A4B5546" w:rsidR="00C368E1" w:rsidRPr="00EA4481" w:rsidRDefault="1E341940" w:rsidP="65CAB813">
      <w:pPr>
        <w:pStyle w:val="Heading1"/>
        <w:spacing w:before="0" w:line="240" w:lineRule="auto"/>
        <w:rPr>
          <w:rFonts w:ascii="Open Sans SemiBold" w:hAnsi="Open Sans SemiBold" w:cs="Open Sans SemiBold"/>
          <w:color w:val="004848"/>
        </w:rPr>
      </w:pPr>
      <w:r w:rsidRPr="00EA4481">
        <w:rPr>
          <w:rFonts w:ascii="Open Sans SemiBold" w:hAnsi="Open Sans SemiBold" w:cs="Open Sans SemiBold"/>
          <w:color w:val="004848"/>
        </w:rPr>
        <w:t xml:space="preserve">References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2B7D" w14:textId="77777777" w:rsidR="001466A7" w:rsidRDefault="001466A7" w:rsidP="00E7799D">
      <w:pPr>
        <w:spacing w:after="0" w:line="240" w:lineRule="auto"/>
      </w:pPr>
      <w:r>
        <w:separator/>
      </w:r>
    </w:p>
    <w:p w14:paraId="32844A47" w14:textId="77777777" w:rsidR="001466A7" w:rsidRDefault="001466A7"/>
  </w:endnote>
  <w:endnote w:type="continuationSeparator" w:id="0">
    <w:p w14:paraId="7AD54ED9" w14:textId="77777777" w:rsidR="001466A7" w:rsidRDefault="001466A7" w:rsidP="00E7799D">
      <w:pPr>
        <w:spacing w:after="0" w:line="240" w:lineRule="auto"/>
      </w:pPr>
      <w:r>
        <w:continuationSeparator/>
      </w:r>
    </w:p>
    <w:p w14:paraId="643EC65A" w14:textId="77777777" w:rsidR="001466A7" w:rsidRDefault="001466A7"/>
  </w:endnote>
  <w:endnote w:type="continuationNotice" w:id="1">
    <w:p w14:paraId="2B214DB2" w14:textId="77777777" w:rsidR="005C4D86" w:rsidRDefault="005C4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Light" w:hAnsi="Open Sans Light" w:cs="Open Sans Light"/>
        <w:sz w:val="20"/>
        <w:szCs w:val="20"/>
      </w:rPr>
      <w:id w:val="-1984923876"/>
      <w:docPartObj>
        <w:docPartGallery w:val="Page Numbers (Bottom of Page)"/>
        <w:docPartUnique/>
      </w:docPartObj>
    </w:sdtPr>
    <w:sdtEndPr>
      <w:rPr>
        <w:noProof/>
      </w:rPr>
    </w:sdtEndPr>
    <w:sdtContent>
      <w:p w14:paraId="5D88F19A" w14:textId="29A996B9" w:rsidR="00E7799D" w:rsidRPr="00D528E2" w:rsidRDefault="00E7799D">
        <w:pPr>
          <w:pStyle w:val="Footer"/>
          <w:jc w:val="right"/>
          <w:rPr>
            <w:rFonts w:ascii="Open Sans Light" w:hAnsi="Open Sans Light" w:cs="Open Sans Light"/>
            <w:sz w:val="20"/>
            <w:szCs w:val="20"/>
          </w:rPr>
        </w:pPr>
        <w:r w:rsidRPr="00D528E2">
          <w:rPr>
            <w:rFonts w:ascii="Open Sans Light" w:hAnsi="Open Sans Light" w:cs="Open Sans Light"/>
            <w:sz w:val="20"/>
            <w:szCs w:val="20"/>
          </w:rPr>
          <w:fldChar w:fldCharType="begin"/>
        </w:r>
        <w:r w:rsidRPr="00D528E2">
          <w:rPr>
            <w:rFonts w:ascii="Open Sans Light" w:hAnsi="Open Sans Light" w:cs="Open Sans Light"/>
            <w:sz w:val="20"/>
            <w:szCs w:val="20"/>
          </w:rPr>
          <w:instrText xml:space="preserve"> PAGE   \* MERGEFORMAT </w:instrText>
        </w:r>
        <w:r w:rsidRPr="00D528E2">
          <w:rPr>
            <w:rFonts w:ascii="Open Sans Light" w:hAnsi="Open Sans Light" w:cs="Open Sans Light"/>
            <w:sz w:val="20"/>
            <w:szCs w:val="20"/>
          </w:rPr>
          <w:fldChar w:fldCharType="separate"/>
        </w:r>
        <w:r w:rsidRPr="00D528E2">
          <w:rPr>
            <w:rFonts w:ascii="Open Sans Light" w:hAnsi="Open Sans Light" w:cs="Open Sans Light"/>
            <w:noProof/>
            <w:sz w:val="20"/>
            <w:szCs w:val="20"/>
          </w:rPr>
          <w:t>2</w:t>
        </w:r>
        <w:r w:rsidRPr="00D528E2">
          <w:rPr>
            <w:rFonts w:ascii="Open Sans Light" w:hAnsi="Open Sans Light" w:cs="Open Sans Light"/>
            <w:noProof/>
            <w:sz w:val="20"/>
            <w:szCs w:val="20"/>
          </w:rPr>
          <w:fldChar w:fldCharType="end"/>
        </w:r>
      </w:p>
    </w:sdtContent>
  </w:sdt>
  <w:p w14:paraId="3DA6CF0A" w14:textId="77777777" w:rsidR="00E7799D" w:rsidRDefault="00E7799D">
    <w:pPr>
      <w:pStyle w:val="Footer"/>
    </w:pPr>
  </w:p>
  <w:p w14:paraId="1A289930" w14:textId="77777777" w:rsidR="007B7CF8" w:rsidRDefault="007B7C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4833" w14:textId="77777777" w:rsidR="001466A7" w:rsidRDefault="001466A7" w:rsidP="00E7799D">
      <w:pPr>
        <w:spacing w:after="0" w:line="240" w:lineRule="auto"/>
      </w:pPr>
      <w:r>
        <w:separator/>
      </w:r>
    </w:p>
    <w:p w14:paraId="6BE6BE91" w14:textId="77777777" w:rsidR="001466A7" w:rsidRDefault="001466A7"/>
  </w:footnote>
  <w:footnote w:type="continuationSeparator" w:id="0">
    <w:p w14:paraId="6FBFED2D" w14:textId="77777777" w:rsidR="001466A7" w:rsidRDefault="001466A7" w:rsidP="00E7799D">
      <w:pPr>
        <w:spacing w:after="0" w:line="240" w:lineRule="auto"/>
      </w:pPr>
      <w:r>
        <w:continuationSeparator/>
      </w:r>
    </w:p>
    <w:p w14:paraId="30FAD095" w14:textId="77777777" w:rsidR="001466A7" w:rsidRDefault="001466A7"/>
  </w:footnote>
  <w:footnote w:type="continuationNotice" w:id="1">
    <w:p w14:paraId="6587B5C2" w14:textId="77777777" w:rsidR="005C4D86" w:rsidRDefault="005C4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2245" w14:textId="0F980AF9" w:rsidR="00C90270" w:rsidRPr="00D528E2" w:rsidRDefault="00C368E1" w:rsidP="00C90270">
    <w:pPr>
      <w:pStyle w:val="Header"/>
      <w:rPr>
        <w:rFonts w:ascii="Open Sans Light" w:hAnsi="Open Sans Light" w:cs="Open Sans Light"/>
        <w:sz w:val="20"/>
        <w:szCs w:val="20"/>
      </w:rPr>
    </w:pPr>
    <w:r w:rsidRPr="00D528E2">
      <w:rPr>
        <w:rFonts w:ascii="Open Sans Light" w:hAnsi="Open Sans Light" w:cs="Open Sans Light"/>
        <w:sz w:val="20"/>
        <w:szCs w:val="20"/>
      </w:rPr>
      <w:t>Stressor-Response Function Library Documentation</w:t>
    </w:r>
    <w:r w:rsidRPr="00D528E2">
      <w:rPr>
        <w:rFonts w:ascii="Open Sans Light" w:hAnsi="Open Sans Light" w:cs="Open Sans Light"/>
        <w:sz w:val="20"/>
        <w:szCs w:val="20"/>
      </w:rPr>
      <w:tab/>
    </w:r>
    <w:r w:rsidRPr="00D528E2">
      <w:rPr>
        <w:rFonts w:ascii="Open Sans Light" w:hAnsi="Open Sans Light" w:cs="Open Sans Light"/>
        <w:sz w:val="20"/>
        <w:szCs w:val="20"/>
      </w:rPr>
      <w:tab/>
    </w:r>
  </w:p>
  <w:p w14:paraId="7367D556" w14:textId="77777777" w:rsidR="007B7CF8" w:rsidRDefault="007B7C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KkFALI4ObItAAAA"/>
  </w:docVars>
  <w:rsids>
    <w:rsidRoot w:val="00EE401F"/>
    <w:rsid w:val="0000394A"/>
    <w:rsid w:val="000165A3"/>
    <w:rsid w:val="00016D31"/>
    <w:rsid w:val="00017BF6"/>
    <w:rsid w:val="00020003"/>
    <w:rsid w:val="000200E1"/>
    <w:rsid w:val="00022F54"/>
    <w:rsid w:val="000355E1"/>
    <w:rsid w:val="00041020"/>
    <w:rsid w:val="00041823"/>
    <w:rsid w:val="0004514A"/>
    <w:rsid w:val="000456D5"/>
    <w:rsid w:val="00064DDD"/>
    <w:rsid w:val="000747D3"/>
    <w:rsid w:val="00080A06"/>
    <w:rsid w:val="00082741"/>
    <w:rsid w:val="00087A59"/>
    <w:rsid w:val="000908B0"/>
    <w:rsid w:val="00091F44"/>
    <w:rsid w:val="000A2B63"/>
    <w:rsid w:val="000A4060"/>
    <w:rsid w:val="000B1E9A"/>
    <w:rsid w:val="000B2C3C"/>
    <w:rsid w:val="000C05EC"/>
    <w:rsid w:val="000C3263"/>
    <w:rsid w:val="000C7EB5"/>
    <w:rsid w:val="000E794B"/>
    <w:rsid w:val="000F1975"/>
    <w:rsid w:val="00107DC5"/>
    <w:rsid w:val="00111BAA"/>
    <w:rsid w:val="00115F06"/>
    <w:rsid w:val="00117BB2"/>
    <w:rsid w:val="00122644"/>
    <w:rsid w:val="0012787C"/>
    <w:rsid w:val="00133F93"/>
    <w:rsid w:val="001376D5"/>
    <w:rsid w:val="001420C8"/>
    <w:rsid w:val="001443E1"/>
    <w:rsid w:val="00144BBD"/>
    <w:rsid w:val="001466A7"/>
    <w:rsid w:val="0014770C"/>
    <w:rsid w:val="0015496B"/>
    <w:rsid w:val="00155B08"/>
    <w:rsid w:val="0015760F"/>
    <w:rsid w:val="00164660"/>
    <w:rsid w:val="00165546"/>
    <w:rsid w:val="00165BF9"/>
    <w:rsid w:val="00170158"/>
    <w:rsid w:val="00170CC2"/>
    <w:rsid w:val="00184791"/>
    <w:rsid w:val="00191AC7"/>
    <w:rsid w:val="001C367C"/>
    <w:rsid w:val="001C74FB"/>
    <w:rsid w:val="001E3E09"/>
    <w:rsid w:val="001F3347"/>
    <w:rsid w:val="001F458A"/>
    <w:rsid w:val="00217F83"/>
    <w:rsid w:val="00222550"/>
    <w:rsid w:val="00230E39"/>
    <w:rsid w:val="00230FDC"/>
    <w:rsid w:val="00241F01"/>
    <w:rsid w:val="002431B0"/>
    <w:rsid w:val="00251E39"/>
    <w:rsid w:val="0025717C"/>
    <w:rsid w:val="00283331"/>
    <w:rsid w:val="002837CA"/>
    <w:rsid w:val="0028388B"/>
    <w:rsid w:val="0028739C"/>
    <w:rsid w:val="002927B0"/>
    <w:rsid w:val="00293336"/>
    <w:rsid w:val="00294B53"/>
    <w:rsid w:val="00294F28"/>
    <w:rsid w:val="00294FFC"/>
    <w:rsid w:val="002A4D9A"/>
    <w:rsid w:val="002B4A9E"/>
    <w:rsid w:val="002B565B"/>
    <w:rsid w:val="002D0EC6"/>
    <w:rsid w:val="002D1027"/>
    <w:rsid w:val="002D3EF1"/>
    <w:rsid w:val="002E1579"/>
    <w:rsid w:val="002E5E2A"/>
    <w:rsid w:val="00300110"/>
    <w:rsid w:val="00301F28"/>
    <w:rsid w:val="0030440F"/>
    <w:rsid w:val="00304A1A"/>
    <w:rsid w:val="00320DED"/>
    <w:rsid w:val="00324870"/>
    <w:rsid w:val="003330B4"/>
    <w:rsid w:val="00342128"/>
    <w:rsid w:val="003570D0"/>
    <w:rsid w:val="00361C55"/>
    <w:rsid w:val="00362151"/>
    <w:rsid w:val="00362E31"/>
    <w:rsid w:val="0038158A"/>
    <w:rsid w:val="00386913"/>
    <w:rsid w:val="0038707E"/>
    <w:rsid w:val="003920D0"/>
    <w:rsid w:val="003924DB"/>
    <w:rsid w:val="003A4326"/>
    <w:rsid w:val="003B452F"/>
    <w:rsid w:val="003D7E57"/>
    <w:rsid w:val="003E638A"/>
    <w:rsid w:val="003F4A21"/>
    <w:rsid w:val="00410060"/>
    <w:rsid w:val="0042326B"/>
    <w:rsid w:val="00427A71"/>
    <w:rsid w:val="00437F4F"/>
    <w:rsid w:val="004609D6"/>
    <w:rsid w:val="004609FA"/>
    <w:rsid w:val="00466AA1"/>
    <w:rsid w:val="0047132C"/>
    <w:rsid w:val="00471686"/>
    <w:rsid w:val="0047317E"/>
    <w:rsid w:val="00481708"/>
    <w:rsid w:val="00481BDA"/>
    <w:rsid w:val="004972DF"/>
    <w:rsid w:val="004A26D1"/>
    <w:rsid w:val="004B09D0"/>
    <w:rsid w:val="004C174B"/>
    <w:rsid w:val="004C5AA5"/>
    <w:rsid w:val="004E69D5"/>
    <w:rsid w:val="004F3CF3"/>
    <w:rsid w:val="00501180"/>
    <w:rsid w:val="0051275E"/>
    <w:rsid w:val="00514290"/>
    <w:rsid w:val="00524C4D"/>
    <w:rsid w:val="00540ACB"/>
    <w:rsid w:val="005455A7"/>
    <w:rsid w:val="00551BD6"/>
    <w:rsid w:val="005774CA"/>
    <w:rsid w:val="00583010"/>
    <w:rsid w:val="0058392F"/>
    <w:rsid w:val="005A0F5A"/>
    <w:rsid w:val="005A3D46"/>
    <w:rsid w:val="005A6608"/>
    <w:rsid w:val="005A73D7"/>
    <w:rsid w:val="005C225A"/>
    <w:rsid w:val="005C4D86"/>
    <w:rsid w:val="005C66A0"/>
    <w:rsid w:val="005C772C"/>
    <w:rsid w:val="005E6062"/>
    <w:rsid w:val="005F6146"/>
    <w:rsid w:val="00602E57"/>
    <w:rsid w:val="00606849"/>
    <w:rsid w:val="00616F1B"/>
    <w:rsid w:val="00637CC4"/>
    <w:rsid w:val="006459C3"/>
    <w:rsid w:val="00646487"/>
    <w:rsid w:val="00647B2F"/>
    <w:rsid w:val="00653887"/>
    <w:rsid w:val="00665B9C"/>
    <w:rsid w:val="006704BF"/>
    <w:rsid w:val="0067196A"/>
    <w:rsid w:val="006866CA"/>
    <w:rsid w:val="0068676B"/>
    <w:rsid w:val="0069394F"/>
    <w:rsid w:val="00693A57"/>
    <w:rsid w:val="006956E1"/>
    <w:rsid w:val="006A1599"/>
    <w:rsid w:val="006A1B46"/>
    <w:rsid w:val="006A7DE6"/>
    <w:rsid w:val="006B6B08"/>
    <w:rsid w:val="006C2907"/>
    <w:rsid w:val="006C401C"/>
    <w:rsid w:val="006D5BF9"/>
    <w:rsid w:val="006E1226"/>
    <w:rsid w:val="006F0E0E"/>
    <w:rsid w:val="006F4B76"/>
    <w:rsid w:val="00705218"/>
    <w:rsid w:val="0071291D"/>
    <w:rsid w:val="00712C79"/>
    <w:rsid w:val="00715A1F"/>
    <w:rsid w:val="00717D00"/>
    <w:rsid w:val="007254D0"/>
    <w:rsid w:val="00725A89"/>
    <w:rsid w:val="00725EF2"/>
    <w:rsid w:val="00731E4F"/>
    <w:rsid w:val="00732433"/>
    <w:rsid w:val="00733E49"/>
    <w:rsid w:val="007426F1"/>
    <w:rsid w:val="00745407"/>
    <w:rsid w:val="00762701"/>
    <w:rsid w:val="00772980"/>
    <w:rsid w:val="007816A5"/>
    <w:rsid w:val="00784189"/>
    <w:rsid w:val="00790181"/>
    <w:rsid w:val="0079062E"/>
    <w:rsid w:val="00790908"/>
    <w:rsid w:val="00790F57"/>
    <w:rsid w:val="0079771C"/>
    <w:rsid w:val="007A0FA1"/>
    <w:rsid w:val="007A1890"/>
    <w:rsid w:val="007B7CF8"/>
    <w:rsid w:val="007C60FC"/>
    <w:rsid w:val="007D3D90"/>
    <w:rsid w:val="007E16E7"/>
    <w:rsid w:val="007E1AC8"/>
    <w:rsid w:val="007F5F85"/>
    <w:rsid w:val="007F65BD"/>
    <w:rsid w:val="007F6FD5"/>
    <w:rsid w:val="00803A10"/>
    <w:rsid w:val="00806EDA"/>
    <w:rsid w:val="00810DA4"/>
    <w:rsid w:val="0081271C"/>
    <w:rsid w:val="00812DE9"/>
    <w:rsid w:val="008176B6"/>
    <w:rsid w:val="00820F62"/>
    <w:rsid w:val="00827E39"/>
    <w:rsid w:val="0083033B"/>
    <w:rsid w:val="0083377C"/>
    <w:rsid w:val="008412C2"/>
    <w:rsid w:val="00843F44"/>
    <w:rsid w:val="00875CBF"/>
    <w:rsid w:val="00877AAD"/>
    <w:rsid w:val="00887B95"/>
    <w:rsid w:val="00890794"/>
    <w:rsid w:val="00891509"/>
    <w:rsid w:val="008A4AFF"/>
    <w:rsid w:val="008A6066"/>
    <w:rsid w:val="008A7FCC"/>
    <w:rsid w:val="008B7276"/>
    <w:rsid w:val="008C7455"/>
    <w:rsid w:val="008D4C7B"/>
    <w:rsid w:val="008D52C2"/>
    <w:rsid w:val="008E249D"/>
    <w:rsid w:val="008E43D9"/>
    <w:rsid w:val="008E5698"/>
    <w:rsid w:val="00900BB0"/>
    <w:rsid w:val="00902F4E"/>
    <w:rsid w:val="0090335B"/>
    <w:rsid w:val="0091716B"/>
    <w:rsid w:val="00917619"/>
    <w:rsid w:val="00920B49"/>
    <w:rsid w:val="00925C30"/>
    <w:rsid w:val="00927232"/>
    <w:rsid w:val="0093096A"/>
    <w:rsid w:val="009374CF"/>
    <w:rsid w:val="009424C3"/>
    <w:rsid w:val="00943FA1"/>
    <w:rsid w:val="009467B7"/>
    <w:rsid w:val="00956BD2"/>
    <w:rsid w:val="00964506"/>
    <w:rsid w:val="00966667"/>
    <w:rsid w:val="00973627"/>
    <w:rsid w:val="009761D9"/>
    <w:rsid w:val="00976BD5"/>
    <w:rsid w:val="00986F29"/>
    <w:rsid w:val="009A098A"/>
    <w:rsid w:val="009A1B5A"/>
    <w:rsid w:val="009B0615"/>
    <w:rsid w:val="009B6532"/>
    <w:rsid w:val="009D6BE2"/>
    <w:rsid w:val="009D7891"/>
    <w:rsid w:val="009F10C6"/>
    <w:rsid w:val="009F2F47"/>
    <w:rsid w:val="00A00EFF"/>
    <w:rsid w:val="00A0609C"/>
    <w:rsid w:val="00A12D3B"/>
    <w:rsid w:val="00A15475"/>
    <w:rsid w:val="00A23AD7"/>
    <w:rsid w:val="00A37B71"/>
    <w:rsid w:val="00A4414A"/>
    <w:rsid w:val="00A476F5"/>
    <w:rsid w:val="00A63DA5"/>
    <w:rsid w:val="00A740B2"/>
    <w:rsid w:val="00A75470"/>
    <w:rsid w:val="00A80314"/>
    <w:rsid w:val="00A844BB"/>
    <w:rsid w:val="00A92F1E"/>
    <w:rsid w:val="00A97FEC"/>
    <w:rsid w:val="00AA0B1F"/>
    <w:rsid w:val="00AA2408"/>
    <w:rsid w:val="00AB0918"/>
    <w:rsid w:val="00AB31E4"/>
    <w:rsid w:val="00AB5065"/>
    <w:rsid w:val="00AC3670"/>
    <w:rsid w:val="00AC7CC4"/>
    <w:rsid w:val="00AD6DA4"/>
    <w:rsid w:val="00AE46D1"/>
    <w:rsid w:val="00AE6E92"/>
    <w:rsid w:val="00AF0900"/>
    <w:rsid w:val="00AF11A3"/>
    <w:rsid w:val="00AF20AC"/>
    <w:rsid w:val="00AF5EE3"/>
    <w:rsid w:val="00B03D59"/>
    <w:rsid w:val="00B175C6"/>
    <w:rsid w:val="00B2188D"/>
    <w:rsid w:val="00B2301D"/>
    <w:rsid w:val="00B378B7"/>
    <w:rsid w:val="00B418E5"/>
    <w:rsid w:val="00B452DF"/>
    <w:rsid w:val="00B50E3A"/>
    <w:rsid w:val="00B53C4A"/>
    <w:rsid w:val="00B620A2"/>
    <w:rsid w:val="00B62FE8"/>
    <w:rsid w:val="00B72B89"/>
    <w:rsid w:val="00B93E65"/>
    <w:rsid w:val="00BA1BF1"/>
    <w:rsid w:val="00BA3436"/>
    <w:rsid w:val="00BA541E"/>
    <w:rsid w:val="00BB03EB"/>
    <w:rsid w:val="00BB39CE"/>
    <w:rsid w:val="00BC29FB"/>
    <w:rsid w:val="00BC5615"/>
    <w:rsid w:val="00BD2BAD"/>
    <w:rsid w:val="00BD3771"/>
    <w:rsid w:val="00BE6BC7"/>
    <w:rsid w:val="00BE751C"/>
    <w:rsid w:val="00BF0E91"/>
    <w:rsid w:val="00C0513D"/>
    <w:rsid w:val="00C14296"/>
    <w:rsid w:val="00C14ADF"/>
    <w:rsid w:val="00C22FF5"/>
    <w:rsid w:val="00C23194"/>
    <w:rsid w:val="00C2617B"/>
    <w:rsid w:val="00C357D9"/>
    <w:rsid w:val="00C368E1"/>
    <w:rsid w:val="00C3774E"/>
    <w:rsid w:val="00C47B94"/>
    <w:rsid w:val="00C5276A"/>
    <w:rsid w:val="00C528A6"/>
    <w:rsid w:val="00C84FB9"/>
    <w:rsid w:val="00C90270"/>
    <w:rsid w:val="00CA40F9"/>
    <w:rsid w:val="00CB5E90"/>
    <w:rsid w:val="00CB754D"/>
    <w:rsid w:val="00CD1552"/>
    <w:rsid w:val="00CD520C"/>
    <w:rsid w:val="00CE25DD"/>
    <w:rsid w:val="00CE3941"/>
    <w:rsid w:val="00CE589E"/>
    <w:rsid w:val="00CE7299"/>
    <w:rsid w:val="00CF28D0"/>
    <w:rsid w:val="00CF664F"/>
    <w:rsid w:val="00D0472B"/>
    <w:rsid w:val="00D065C4"/>
    <w:rsid w:val="00D147A4"/>
    <w:rsid w:val="00D16993"/>
    <w:rsid w:val="00D16A17"/>
    <w:rsid w:val="00D17A67"/>
    <w:rsid w:val="00D2524C"/>
    <w:rsid w:val="00D252CA"/>
    <w:rsid w:val="00D3684E"/>
    <w:rsid w:val="00D4147A"/>
    <w:rsid w:val="00D423D2"/>
    <w:rsid w:val="00D5042F"/>
    <w:rsid w:val="00D528E2"/>
    <w:rsid w:val="00D60138"/>
    <w:rsid w:val="00D62CC1"/>
    <w:rsid w:val="00D64F2A"/>
    <w:rsid w:val="00D70115"/>
    <w:rsid w:val="00D92F85"/>
    <w:rsid w:val="00D93E97"/>
    <w:rsid w:val="00DB698B"/>
    <w:rsid w:val="00DC375D"/>
    <w:rsid w:val="00DC4B64"/>
    <w:rsid w:val="00DC501C"/>
    <w:rsid w:val="00DD4296"/>
    <w:rsid w:val="00DD5463"/>
    <w:rsid w:val="00DE1D85"/>
    <w:rsid w:val="00DF4DB8"/>
    <w:rsid w:val="00E07EC8"/>
    <w:rsid w:val="00E12694"/>
    <w:rsid w:val="00E12A95"/>
    <w:rsid w:val="00E15218"/>
    <w:rsid w:val="00E17A69"/>
    <w:rsid w:val="00E37D6B"/>
    <w:rsid w:val="00E44F2B"/>
    <w:rsid w:val="00E462B5"/>
    <w:rsid w:val="00E50B98"/>
    <w:rsid w:val="00E522C5"/>
    <w:rsid w:val="00E637A5"/>
    <w:rsid w:val="00E724E3"/>
    <w:rsid w:val="00E7799D"/>
    <w:rsid w:val="00E80538"/>
    <w:rsid w:val="00E91673"/>
    <w:rsid w:val="00E93C3D"/>
    <w:rsid w:val="00E95BB4"/>
    <w:rsid w:val="00EA091E"/>
    <w:rsid w:val="00EA23D9"/>
    <w:rsid w:val="00EA4481"/>
    <w:rsid w:val="00EB6B10"/>
    <w:rsid w:val="00EC41C5"/>
    <w:rsid w:val="00EC4BBE"/>
    <w:rsid w:val="00EC75AD"/>
    <w:rsid w:val="00ED2309"/>
    <w:rsid w:val="00ED33FD"/>
    <w:rsid w:val="00ED6356"/>
    <w:rsid w:val="00EE401F"/>
    <w:rsid w:val="00EF3CF4"/>
    <w:rsid w:val="00EF3EAA"/>
    <w:rsid w:val="00F074FB"/>
    <w:rsid w:val="00F13E6E"/>
    <w:rsid w:val="00F160F5"/>
    <w:rsid w:val="00F166D1"/>
    <w:rsid w:val="00F23666"/>
    <w:rsid w:val="00F258C4"/>
    <w:rsid w:val="00F32113"/>
    <w:rsid w:val="00F3219B"/>
    <w:rsid w:val="00F32B87"/>
    <w:rsid w:val="00F64297"/>
    <w:rsid w:val="00F6787C"/>
    <w:rsid w:val="00F810BF"/>
    <w:rsid w:val="00F91C01"/>
    <w:rsid w:val="00F9302D"/>
    <w:rsid w:val="00F9790F"/>
    <w:rsid w:val="00FA06CF"/>
    <w:rsid w:val="00FA3DBD"/>
    <w:rsid w:val="00FB0A87"/>
    <w:rsid w:val="00FB1755"/>
    <w:rsid w:val="00FB6946"/>
    <w:rsid w:val="00FB7841"/>
    <w:rsid w:val="00FE0CD4"/>
    <w:rsid w:val="00FE0E31"/>
    <w:rsid w:val="00FE22CD"/>
    <w:rsid w:val="00FE47D2"/>
    <w:rsid w:val="00FF2F27"/>
    <w:rsid w:val="00FF3A09"/>
    <w:rsid w:val="00FF4F8F"/>
    <w:rsid w:val="04FC56E1"/>
    <w:rsid w:val="05AED5CF"/>
    <w:rsid w:val="0E8F9640"/>
    <w:rsid w:val="1036B856"/>
    <w:rsid w:val="15EC4F84"/>
    <w:rsid w:val="18E55EF0"/>
    <w:rsid w:val="19635178"/>
    <w:rsid w:val="1E0E5A8E"/>
    <w:rsid w:val="1E341940"/>
    <w:rsid w:val="1EFAE26B"/>
    <w:rsid w:val="2132BD40"/>
    <w:rsid w:val="2CD68E28"/>
    <w:rsid w:val="2D110190"/>
    <w:rsid w:val="323CB1C2"/>
    <w:rsid w:val="37B9B586"/>
    <w:rsid w:val="3803D813"/>
    <w:rsid w:val="399FA874"/>
    <w:rsid w:val="3A725584"/>
    <w:rsid w:val="3EB2F01F"/>
    <w:rsid w:val="44F8030C"/>
    <w:rsid w:val="480D20F5"/>
    <w:rsid w:val="59F3AEF9"/>
    <w:rsid w:val="64519AC9"/>
    <w:rsid w:val="65CAB813"/>
    <w:rsid w:val="668E1B02"/>
    <w:rsid w:val="672D1578"/>
    <w:rsid w:val="67FD64F3"/>
    <w:rsid w:val="68C8E5D9"/>
    <w:rsid w:val="69CF1293"/>
    <w:rsid w:val="70C648BC"/>
    <w:rsid w:val="7F56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432B0F49-93AC-449B-894E-3EED1C8A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200E1"/>
    <w:pPr>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00E1"/>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7315">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086gc-my.sharepoint.com/personal/lauren_jarvis_dfo-mpo_gc_ca/Documents/SARP/Plains%20Sucker/Data/RShinyApp-PS/stressor-response_PS_from_worksho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086gc-my.sharepoint.com/personal/lauren_jarvis_dfo-mpo_gc_ca/Documents/SARP/Plains%20Sucker/Data/RShinyApp-PS/stressor-response_PS_from_worksho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59598228891749"/>
          <c:y val="0.1736111111111111"/>
          <c:w val="0.74059277908820942"/>
          <c:h val="0.60831036745406819"/>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Habitat_loss!$A$2:$A$7</c:f>
              <c:numCache>
                <c:formatCode>General</c:formatCode>
                <c:ptCount val="6"/>
                <c:pt idx="0">
                  <c:v>0</c:v>
                </c:pt>
                <c:pt idx="1">
                  <c:v>20</c:v>
                </c:pt>
                <c:pt idx="2">
                  <c:v>40</c:v>
                </c:pt>
                <c:pt idx="3">
                  <c:v>60</c:v>
                </c:pt>
                <c:pt idx="4">
                  <c:v>80</c:v>
                </c:pt>
                <c:pt idx="5">
                  <c:v>100</c:v>
                </c:pt>
              </c:numCache>
            </c:numRef>
          </c:xVal>
          <c:yVal>
            <c:numRef>
              <c:f>Habitat_loss!$B$2:$B$7</c:f>
              <c:numCache>
                <c:formatCode>General</c:formatCode>
                <c:ptCount val="6"/>
                <c:pt idx="0">
                  <c:v>100</c:v>
                </c:pt>
                <c:pt idx="1">
                  <c:v>80</c:v>
                </c:pt>
                <c:pt idx="2">
                  <c:v>60</c:v>
                </c:pt>
                <c:pt idx="3">
                  <c:v>40</c:v>
                </c:pt>
                <c:pt idx="4">
                  <c:v>20</c:v>
                </c:pt>
                <c:pt idx="5">
                  <c:v>0</c:v>
                </c:pt>
              </c:numCache>
            </c:numRef>
          </c:yVal>
          <c:smooth val="0"/>
          <c:extLst>
            <c:ext xmlns:c16="http://schemas.microsoft.com/office/drawing/2014/chart" uri="{C3380CC4-5D6E-409C-BE32-E72D297353CC}">
              <c16:uniqueId val="{00000000-37C8-48A0-AAFA-ABEA64E2F67C}"/>
            </c:ext>
          </c:extLst>
        </c:ser>
        <c:dLbls>
          <c:showLegendKey val="0"/>
          <c:showVal val="0"/>
          <c:showCatName val="0"/>
          <c:showSerName val="0"/>
          <c:showPercent val="0"/>
          <c:showBubbleSize val="0"/>
        </c:dLbls>
        <c:axId val="522196208"/>
        <c:axId val="568533128"/>
      </c:scatterChart>
      <c:valAx>
        <c:axId val="52219620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Habitat loss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33128"/>
        <c:crosses val="autoZero"/>
        <c:crossBetween val="midCat"/>
      </c:valAx>
      <c:valAx>
        <c:axId val="5685331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196208"/>
        <c:crossesAt val="1.0000000000000002E-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Habitat_loss!$A$2:$A$7</c:f>
              <c:numCache>
                <c:formatCode>General</c:formatCode>
                <c:ptCount val="6"/>
                <c:pt idx="0">
                  <c:v>0</c:v>
                </c:pt>
                <c:pt idx="1">
                  <c:v>20</c:v>
                </c:pt>
                <c:pt idx="2">
                  <c:v>40</c:v>
                </c:pt>
                <c:pt idx="3">
                  <c:v>60</c:v>
                </c:pt>
                <c:pt idx="4">
                  <c:v>80</c:v>
                </c:pt>
                <c:pt idx="5">
                  <c:v>100</c:v>
                </c:pt>
              </c:numCache>
            </c:numRef>
          </c:xVal>
          <c:yVal>
            <c:numRef>
              <c:f>Habitat_loss!$B$2:$B$7</c:f>
              <c:numCache>
                <c:formatCode>General</c:formatCode>
                <c:ptCount val="6"/>
                <c:pt idx="0">
                  <c:v>100</c:v>
                </c:pt>
                <c:pt idx="1">
                  <c:v>80</c:v>
                </c:pt>
                <c:pt idx="2">
                  <c:v>60</c:v>
                </c:pt>
                <c:pt idx="3">
                  <c:v>40</c:v>
                </c:pt>
                <c:pt idx="4">
                  <c:v>20</c:v>
                </c:pt>
                <c:pt idx="5">
                  <c:v>0</c:v>
                </c:pt>
              </c:numCache>
            </c:numRef>
          </c:yVal>
          <c:smooth val="0"/>
          <c:extLst>
            <c:ext xmlns:c16="http://schemas.microsoft.com/office/drawing/2014/chart" uri="{C3380CC4-5D6E-409C-BE32-E72D297353CC}">
              <c16:uniqueId val="{00000000-74F7-44AD-95DD-FE9142ADE338}"/>
            </c:ext>
          </c:extLst>
        </c:ser>
        <c:dLbls>
          <c:showLegendKey val="0"/>
          <c:showVal val="0"/>
          <c:showCatName val="0"/>
          <c:showSerName val="0"/>
          <c:showPercent val="0"/>
          <c:showBubbleSize val="0"/>
        </c:dLbls>
        <c:axId val="522196208"/>
        <c:axId val="568533128"/>
      </c:scatterChart>
      <c:valAx>
        <c:axId val="52219620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Habitat loss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33128"/>
        <c:crosses val="autoZero"/>
        <c:crossBetween val="midCat"/>
      </c:valAx>
      <c:valAx>
        <c:axId val="5685331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196208"/>
        <c:crossesAt val="1.0000000000000002E-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292</cp:revision>
  <dcterms:created xsi:type="dcterms:W3CDTF">2023-02-27T19:43:00Z</dcterms:created>
  <dcterms:modified xsi:type="dcterms:W3CDTF">2024-03-20T03:44:00Z</dcterms:modified>
</cp:coreProperties>
</file>