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DCA1" w14:textId="6EE8B20C" w:rsidR="3721CB8D" w:rsidRPr="005949EB" w:rsidRDefault="00543319" w:rsidP="00E962EA">
      <w:pPr>
        <w:pStyle w:val="Heading1"/>
        <w:keepNext w:val="0"/>
        <w:keepLines w:val="0"/>
        <w:widowControl w:val="0"/>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t>Summary:</w:t>
      </w:r>
      <w:r w:rsidR="00661F88" w:rsidRPr="005949EB">
        <w:rPr>
          <w:rFonts w:ascii="Open Sans SemiBold" w:hAnsi="Open Sans SemiBold" w:cs="Open Sans SemiBold"/>
          <w:color w:val="004848"/>
        </w:rPr>
        <w:t xml:space="preserve"> </w:t>
      </w:r>
      <w:r w:rsidR="00BF2AA7">
        <w:rPr>
          <w:rFonts w:ascii="Open Sans SemiBold" w:hAnsi="Open Sans SemiBold" w:cs="Open Sans SemiBold"/>
          <w:color w:val="004848"/>
        </w:rPr>
        <w:t>Percent Riffle in Reach</w:t>
      </w:r>
      <w:r w:rsidR="005559F2">
        <w:rPr>
          <w:rFonts w:ascii="Open Sans" w:hAnsi="Open Sans" w:cs="Open Sans"/>
          <w:color w:val="auto"/>
          <w:sz w:val="22"/>
          <w:szCs w:val="22"/>
        </w:rPr>
        <w:t xml:space="preserve"> </w:t>
      </w:r>
      <w:r w:rsidRPr="005559F2">
        <w:rPr>
          <w:rFonts w:ascii="Open Sans SemiBold" w:hAnsi="Open Sans SemiBold" w:cs="Open Sans SemiBold"/>
          <w:color w:val="004848"/>
        </w:rPr>
        <w:t xml:space="preserve">and </w:t>
      </w:r>
      <w:r w:rsidR="00394B5C" w:rsidRPr="005559F2">
        <w:rPr>
          <w:rFonts w:ascii="Open Sans SemiBold" w:hAnsi="Open Sans SemiBold" w:cs="Open Sans SemiBold"/>
          <w:color w:val="004848"/>
        </w:rPr>
        <w:t>System Capacity</w:t>
      </w:r>
      <w:r w:rsidR="0012579D">
        <w:rPr>
          <w:rFonts w:ascii="Open Sans SemiBold" w:hAnsi="Open Sans SemiBold" w:cs="Open Sans SemiBold"/>
          <w:color w:val="004848"/>
        </w:rPr>
        <w:t xml:space="preserve"> for Nooksack Dace</w:t>
      </w:r>
    </w:p>
    <w:p w14:paraId="3F0191E4" w14:textId="12CED0C5" w:rsidR="3EB168DF" w:rsidRPr="005949EB" w:rsidRDefault="3EB168DF" w:rsidP="00E962EA">
      <w:pPr>
        <w:widowControl w:val="0"/>
        <w:spacing w:after="0" w:line="240" w:lineRule="auto"/>
        <w:rPr>
          <w:rFonts w:ascii="Open Sans SemiBold" w:hAnsi="Open Sans SemiBold" w:cs="Open Sans SemiBold"/>
        </w:rPr>
      </w:pPr>
    </w:p>
    <w:p w14:paraId="07F84CD3" w14:textId="70036567" w:rsidR="004F3D72" w:rsidRPr="005949EB" w:rsidRDefault="00A13C29" w:rsidP="005559F2">
      <w:pPr>
        <w:pStyle w:val="Heading1"/>
        <w:keepNext w:val="0"/>
        <w:keepLines w:val="0"/>
        <w:widowControl w:val="0"/>
        <w:spacing w:before="0" w:line="240" w:lineRule="auto"/>
        <w:ind w:left="1276" w:hanging="1276"/>
        <w:rPr>
          <w:rFonts w:ascii="Open Sans" w:eastAsiaTheme="minorEastAsia" w:hAnsi="Open Sans" w:cs="Open Sans"/>
          <w:color w:val="auto"/>
          <w:sz w:val="24"/>
          <w:szCs w:val="24"/>
        </w:rPr>
      </w:pPr>
      <w:r>
        <w:rPr>
          <w:rFonts w:ascii="Open Sans SemiBold" w:hAnsi="Open Sans SemiBold" w:cs="Open Sans SemiBold"/>
          <w:noProof/>
        </w:rPr>
        <w:drawing>
          <wp:anchor distT="0" distB="0" distL="114300" distR="114300" simplePos="0" relativeHeight="251658240" behindDoc="0" locked="0" layoutInCell="1" allowOverlap="1" wp14:anchorId="7737A6FF" wp14:editId="4E44B5CB">
            <wp:simplePos x="0" y="0"/>
            <wp:positionH relativeFrom="column">
              <wp:posOffset>2715260</wp:posOffset>
            </wp:positionH>
            <wp:positionV relativeFrom="paragraph">
              <wp:posOffset>11430</wp:posOffset>
            </wp:positionV>
            <wp:extent cx="3183255" cy="2106930"/>
            <wp:effectExtent l="0" t="0" r="0" b="7620"/>
            <wp:wrapSquare wrapText="bothSides"/>
            <wp:docPr id="2078435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3255" cy="2106930"/>
                    </a:xfrm>
                    <a:prstGeom prst="rect">
                      <a:avLst/>
                    </a:prstGeom>
                    <a:noFill/>
                  </pic:spPr>
                </pic:pic>
              </a:graphicData>
            </a:graphic>
            <wp14:sizeRelH relativeFrom="margin">
              <wp14:pctWidth>0</wp14:pctWidth>
            </wp14:sizeRelH>
            <wp14:sizeRelV relativeFrom="margin">
              <wp14:pctHeight>0</wp14:pctHeight>
            </wp14:sizeRelV>
          </wp:anchor>
        </w:drawing>
      </w:r>
      <w:r w:rsidR="00D065C4" w:rsidRPr="005949EB">
        <w:rPr>
          <w:rFonts w:ascii="Open Sans SemiBold" w:hAnsi="Open Sans SemiBold" w:cs="Open Sans SemiBold"/>
          <w:sz w:val="28"/>
          <w:szCs w:val="28"/>
          <w:u w:val="single"/>
        </w:rPr>
        <w:t>Stressor</w:t>
      </w:r>
      <w:r w:rsidR="00D065C4" w:rsidRPr="005949EB">
        <w:rPr>
          <w:rFonts w:ascii="Open Sans SemiBold" w:hAnsi="Open Sans SemiBold" w:cs="Open Sans SemiBold"/>
          <w:b/>
          <w:bCs/>
          <w:sz w:val="28"/>
          <w:szCs w:val="28"/>
          <w:u w:val="single"/>
        </w:rPr>
        <w:t>:</w:t>
      </w:r>
      <w:r w:rsidR="00D065C4" w:rsidRPr="005949EB">
        <w:rPr>
          <w:rFonts w:ascii="Open Sans" w:hAnsi="Open Sans" w:cs="Open Sans"/>
        </w:rPr>
        <w:t xml:space="preserve"> </w:t>
      </w:r>
      <w:r w:rsidR="00E225A1" w:rsidRPr="00E225A1">
        <w:rPr>
          <w:rFonts w:ascii="Open Sans" w:hAnsi="Open Sans" w:cs="Open Sans"/>
          <w:color w:val="auto"/>
          <w:sz w:val="24"/>
          <w:szCs w:val="24"/>
        </w:rPr>
        <w:t>% riffle in reach</w:t>
      </w:r>
    </w:p>
    <w:p w14:paraId="504D6B01" w14:textId="5F1E93B5" w:rsidR="00E962EA" w:rsidRPr="005949EB" w:rsidRDefault="00E962EA" w:rsidP="00E962EA">
      <w:pPr>
        <w:spacing w:after="0" w:line="240" w:lineRule="auto"/>
        <w:ind w:left="1440" w:hanging="1440"/>
      </w:pPr>
    </w:p>
    <w:p w14:paraId="0705F895" w14:textId="31FA998F" w:rsidR="004136A4" w:rsidRPr="00AA73D6" w:rsidRDefault="00041823" w:rsidP="00AA73D6">
      <w:pPr>
        <w:pStyle w:val="Heading1"/>
        <w:keepNext w:val="0"/>
        <w:keepLines w:val="0"/>
        <w:widowControl w:val="0"/>
        <w:spacing w:before="0" w:line="240" w:lineRule="auto"/>
        <w:ind w:left="1440" w:hanging="1440"/>
        <w:rPr>
          <w:rFonts w:ascii="Open Sans" w:hAnsi="Open Sans" w:cs="Open Sans"/>
          <w:sz w:val="24"/>
          <w:szCs w:val="24"/>
        </w:rPr>
      </w:pPr>
      <w:r w:rsidRPr="005949EB">
        <w:rPr>
          <w:rStyle w:val="Heading2Char"/>
          <w:sz w:val="28"/>
          <w:szCs w:val="28"/>
        </w:rPr>
        <w:t>Response:</w:t>
      </w:r>
      <w:r w:rsidRPr="005949EB">
        <w:rPr>
          <w:rFonts w:ascii="Open Sans" w:hAnsi="Open Sans" w:cs="Open Sans"/>
        </w:rPr>
        <w:t xml:space="preserve"> </w:t>
      </w:r>
      <w:r w:rsidR="00B019BF">
        <w:rPr>
          <w:rFonts w:ascii="Open Sans" w:eastAsiaTheme="minorEastAsia" w:hAnsi="Open Sans" w:cs="Open Sans"/>
          <w:color w:val="auto"/>
          <w:sz w:val="24"/>
          <w:szCs w:val="24"/>
        </w:rPr>
        <w:t>System Capacity (%)</w:t>
      </w:r>
    </w:p>
    <w:p w14:paraId="1EA0C41F" w14:textId="44A0A43B" w:rsidR="004136A4" w:rsidRPr="005949EB" w:rsidRDefault="004136A4" w:rsidP="009402F4">
      <w:pPr>
        <w:pStyle w:val="Heading1"/>
        <w:widowControl w:val="0"/>
        <w:spacing w:line="240" w:lineRule="auto"/>
        <w:ind w:left="1134" w:hanging="1134"/>
        <w:rPr>
          <w:rFonts w:ascii="Open Sans" w:hAnsi="Open Sans" w:cs="Open Sans"/>
          <w:sz w:val="24"/>
          <w:szCs w:val="24"/>
        </w:rPr>
      </w:pPr>
      <w:r w:rsidRPr="005949EB">
        <w:rPr>
          <w:rStyle w:val="Heading2Char"/>
          <w:sz w:val="28"/>
          <w:szCs w:val="28"/>
        </w:rPr>
        <w:t>Species:</w:t>
      </w:r>
      <w:r w:rsidRPr="005949EB">
        <w:rPr>
          <w:rFonts w:ascii="Open Sans SemiBold" w:hAnsi="Open Sans SemiBold" w:cs="Open Sans SemiBold"/>
        </w:rPr>
        <w:t xml:space="preserve"> </w:t>
      </w:r>
      <w:r w:rsidR="00196385" w:rsidRPr="005949EB">
        <w:rPr>
          <w:rFonts w:ascii="Open Sans" w:eastAsiaTheme="minorEastAsia" w:hAnsi="Open Sans" w:cs="Open Sans"/>
          <w:color w:val="auto"/>
          <w:sz w:val="24"/>
          <w:szCs w:val="24"/>
        </w:rPr>
        <w:t>Nooksack Dace (</w:t>
      </w:r>
      <w:r w:rsidR="00196385" w:rsidRPr="005949EB">
        <w:rPr>
          <w:rFonts w:ascii="Open Sans" w:eastAsiaTheme="minorEastAsia" w:hAnsi="Open Sans" w:cs="Open Sans"/>
          <w:i/>
          <w:iCs/>
          <w:color w:val="auto"/>
          <w:sz w:val="24"/>
          <w:szCs w:val="24"/>
        </w:rPr>
        <w:t>Rhinichthys cataractae</w:t>
      </w:r>
      <w:r w:rsidR="00196385" w:rsidRPr="0052431D">
        <w:rPr>
          <w:rFonts w:ascii="Open Sans" w:eastAsiaTheme="minorEastAsia" w:hAnsi="Open Sans" w:cs="Open Sans"/>
          <w:color w:val="auto"/>
          <w:sz w:val="24"/>
          <w:szCs w:val="24"/>
        </w:rPr>
        <w:t>)</w:t>
      </w:r>
    </w:p>
    <w:p w14:paraId="4E96A4B0" w14:textId="1C3C3B73" w:rsidR="008E3ACA" w:rsidRPr="007A28B9" w:rsidRDefault="00196385" w:rsidP="008E3ACA">
      <w:r w:rsidRPr="007A28B9">
        <w:rPr>
          <w:rStyle w:val="Heading2Char"/>
          <w:sz w:val="28"/>
          <w:szCs w:val="28"/>
          <w:u w:val="none"/>
        </w:rPr>
        <w:tab/>
      </w:r>
      <w:r w:rsidRPr="007A28B9">
        <w:rPr>
          <w:rStyle w:val="Heading2Char"/>
          <w:sz w:val="28"/>
          <w:szCs w:val="28"/>
          <w:u w:val="none"/>
        </w:rPr>
        <w:tab/>
      </w:r>
    </w:p>
    <w:p w14:paraId="336FD5AA" w14:textId="48469DDF" w:rsidR="003C3F8D" w:rsidRPr="005949EB" w:rsidRDefault="00887B95" w:rsidP="00360F36">
      <w:pPr>
        <w:pStyle w:val="Heading1"/>
        <w:keepNext w:val="0"/>
        <w:keepLines w:val="0"/>
        <w:widowControl w:val="0"/>
        <w:spacing w:before="0" w:line="240" w:lineRule="auto"/>
        <w:rPr>
          <w:rFonts w:cstheme="majorHAnsi"/>
          <w:color w:val="auto"/>
          <w:sz w:val="25"/>
          <w:szCs w:val="25"/>
        </w:rPr>
      </w:pPr>
      <w:r w:rsidRPr="005949EB">
        <w:rPr>
          <w:rStyle w:val="Heading2Char"/>
          <w:sz w:val="28"/>
          <w:szCs w:val="28"/>
        </w:rPr>
        <w:t>Life Stage:</w:t>
      </w:r>
      <w:r w:rsidRPr="005949EB">
        <w:rPr>
          <w:rFonts w:cstheme="majorHAnsi"/>
        </w:rPr>
        <w:t xml:space="preserve"> </w:t>
      </w:r>
      <w:r w:rsidR="00196385" w:rsidRPr="005949EB">
        <w:rPr>
          <w:rFonts w:ascii="Open Sans" w:eastAsiaTheme="minorEastAsia" w:hAnsi="Open Sans" w:cs="Open Sans"/>
          <w:color w:val="auto"/>
          <w:sz w:val="24"/>
          <w:szCs w:val="24"/>
        </w:rPr>
        <w:t xml:space="preserve">Adult </w:t>
      </w:r>
    </w:p>
    <w:p w14:paraId="4FEC31FB" w14:textId="77777777" w:rsidR="00E962EA" w:rsidRPr="005949EB" w:rsidRDefault="00E962EA" w:rsidP="00E962EA"/>
    <w:p w14:paraId="6C9218E0" w14:textId="431D8520" w:rsidR="00EE401F" w:rsidRPr="005949EB" w:rsidRDefault="00ED6356" w:rsidP="005559F2">
      <w:pPr>
        <w:pStyle w:val="Heading1"/>
        <w:keepNext w:val="0"/>
        <w:keepLines w:val="0"/>
        <w:widowControl w:val="0"/>
        <w:spacing w:before="0" w:line="240" w:lineRule="auto"/>
        <w:ind w:left="1134" w:hanging="1134"/>
        <w:rPr>
          <w:rFonts w:cstheme="majorHAnsi"/>
          <w:color w:val="auto"/>
          <w:sz w:val="28"/>
          <w:szCs w:val="28"/>
        </w:rPr>
      </w:pPr>
      <w:r w:rsidRPr="005949EB">
        <w:rPr>
          <w:rStyle w:val="Heading2Char"/>
          <w:sz w:val="28"/>
          <w:szCs w:val="28"/>
        </w:rPr>
        <w:t>System</w:t>
      </w:r>
      <w:r w:rsidR="00D065C4" w:rsidRPr="005949EB">
        <w:rPr>
          <w:rStyle w:val="Heading2Char"/>
          <w:sz w:val="28"/>
          <w:szCs w:val="28"/>
        </w:rPr>
        <w:t>:</w:t>
      </w:r>
      <w:r w:rsidR="00D065C4" w:rsidRPr="005949EB">
        <w:rPr>
          <w:rFonts w:cstheme="majorHAnsi"/>
        </w:rPr>
        <w:t xml:space="preserve"> </w:t>
      </w:r>
      <w:r w:rsidR="005559F2">
        <w:rPr>
          <w:rFonts w:ascii="Open Sans" w:eastAsiaTheme="minorEastAsia" w:hAnsi="Open Sans" w:cs="Open Sans"/>
          <w:color w:val="auto"/>
          <w:sz w:val="24"/>
          <w:szCs w:val="24"/>
        </w:rPr>
        <w:t>Lower Fraser Valley, including the full distribution range of Nooksack Dace</w:t>
      </w:r>
    </w:p>
    <w:p w14:paraId="2BF9B157" w14:textId="77777777" w:rsidR="00E962EA" w:rsidRPr="005949EB" w:rsidRDefault="00E962EA" w:rsidP="00E962EA"/>
    <w:p w14:paraId="38BF7949" w14:textId="74EB3FD6" w:rsidR="00E962EA" w:rsidRPr="005949EB" w:rsidRDefault="0D60F6D8" w:rsidP="008E3ACA">
      <w:pPr>
        <w:pStyle w:val="Heading1"/>
        <w:keepNext w:val="0"/>
        <w:keepLines w:val="0"/>
        <w:widowControl w:val="0"/>
        <w:spacing w:before="0" w:line="240" w:lineRule="auto"/>
        <w:rPr>
          <w:rFonts w:eastAsiaTheme="minorEastAsia" w:cstheme="majorHAnsi"/>
          <w:color w:val="auto"/>
          <w:sz w:val="28"/>
          <w:szCs w:val="28"/>
        </w:rPr>
      </w:pPr>
      <w:r w:rsidRPr="005949EB">
        <w:rPr>
          <w:rStyle w:val="Heading2Char"/>
          <w:sz w:val="28"/>
          <w:szCs w:val="28"/>
        </w:rPr>
        <w:t>Function</w:t>
      </w:r>
      <w:r w:rsidR="5D2C5D7E" w:rsidRPr="005949EB">
        <w:rPr>
          <w:rStyle w:val="Heading2Char"/>
          <w:sz w:val="28"/>
          <w:szCs w:val="28"/>
        </w:rPr>
        <w:t xml:space="preserve"> Derivation</w:t>
      </w:r>
      <w:r w:rsidR="2AEA4719" w:rsidRPr="005949EB">
        <w:rPr>
          <w:rStyle w:val="Heading2Char"/>
          <w:sz w:val="28"/>
          <w:szCs w:val="28"/>
        </w:rPr>
        <w:t>:</w:t>
      </w:r>
      <w:r w:rsidR="2AEA4719" w:rsidRPr="005949EB">
        <w:rPr>
          <w:rFonts w:cstheme="majorHAnsi"/>
        </w:rPr>
        <w:t xml:space="preserve"> </w:t>
      </w:r>
      <w:r w:rsidR="005559F2">
        <w:rPr>
          <w:rFonts w:ascii="Open Sans" w:eastAsiaTheme="minorEastAsia" w:hAnsi="Open Sans" w:cs="Open Sans"/>
          <w:color w:val="auto"/>
          <w:sz w:val="24"/>
          <w:szCs w:val="24"/>
        </w:rPr>
        <w:t>E</w:t>
      </w:r>
      <w:r w:rsidR="00B106F9" w:rsidRPr="005949EB">
        <w:rPr>
          <w:rFonts w:ascii="Open Sans" w:eastAsiaTheme="minorEastAsia" w:hAnsi="Open Sans" w:cs="Open Sans"/>
          <w:color w:val="auto"/>
          <w:sz w:val="24"/>
          <w:szCs w:val="24"/>
        </w:rPr>
        <w:t>mpirical data</w:t>
      </w:r>
      <w:r w:rsidR="00483641">
        <w:rPr>
          <w:rFonts w:ascii="Open Sans" w:eastAsiaTheme="minorEastAsia" w:hAnsi="Open Sans" w:cs="Open Sans"/>
          <w:color w:val="auto"/>
          <w:sz w:val="24"/>
          <w:szCs w:val="24"/>
        </w:rPr>
        <w:t xml:space="preserve"> for Nooksack Dace from Bertrand Creek and for Longnose Dace from across North America</w:t>
      </w:r>
      <w:r w:rsidR="00211230">
        <w:rPr>
          <w:rFonts w:ascii="Open Sans" w:eastAsiaTheme="minorEastAsia" w:hAnsi="Open Sans" w:cs="Open Sans"/>
          <w:color w:val="auto"/>
          <w:sz w:val="24"/>
          <w:szCs w:val="24"/>
        </w:rPr>
        <w:t>.</w:t>
      </w:r>
    </w:p>
    <w:p w14:paraId="263CE917" w14:textId="1EC0AF62" w:rsidR="008E3ACA" w:rsidRPr="005949EB" w:rsidRDefault="00CB75D4" w:rsidP="00CB75D4">
      <w:pPr>
        <w:tabs>
          <w:tab w:val="left" w:pos="6295"/>
        </w:tabs>
      </w:pPr>
      <w:r w:rsidRPr="005949EB">
        <w:tab/>
      </w:r>
    </w:p>
    <w:p w14:paraId="3B072ABE" w14:textId="08A1C6AC" w:rsidR="00AF46BA" w:rsidRPr="005949EB" w:rsidRDefault="3D17529D" w:rsidP="00515975">
      <w:pPr>
        <w:pStyle w:val="Heading1"/>
        <w:keepNext w:val="0"/>
        <w:keepLines w:val="0"/>
        <w:widowControl w:val="0"/>
        <w:spacing w:before="0" w:line="240" w:lineRule="auto"/>
        <w:rPr>
          <w:rFonts w:ascii="Open Sans" w:eastAsiaTheme="minorEastAsia" w:hAnsi="Open Sans" w:cs="Open Sans"/>
          <w:color w:val="auto"/>
          <w:sz w:val="24"/>
          <w:szCs w:val="24"/>
        </w:rPr>
      </w:pPr>
      <w:r w:rsidRPr="005949EB">
        <w:rPr>
          <w:rStyle w:val="Heading2Char"/>
          <w:sz w:val="28"/>
          <w:szCs w:val="28"/>
        </w:rPr>
        <w:t>Transferability</w:t>
      </w:r>
      <w:r w:rsidR="59B482CC" w:rsidRPr="005949EB">
        <w:rPr>
          <w:rStyle w:val="Heading2Char"/>
          <w:sz w:val="28"/>
          <w:szCs w:val="28"/>
        </w:rPr>
        <w:t xml:space="preserve"> of </w:t>
      </w:r>
      <w:r w:rsidR="32994C73" w:rsidRPr="005949EB">
        <w:rPr>
          <w:rStyle w:val="Heading2Char"/>
          <w:sz w:val="28"/>
          <w:szCs w:val="28"/>
        </w:rPr>
        <w:t>Function</w:t>
      </w:r>
      <w:r w:rsidRPr="005949EB">
        <w:rPr>
          <w:rStyle w:val="Heading2Char"/>
          <w:sz w:val="28"/>
          <w:szCs w:val="28"/>
        </w:rPr>
        <w:t>:</w:t>
      </w:r>
      <w:r w:rsidR="1384BB29" w:rsidRPr="005949EB">
        <w:rPr>
          <w:rFonts w:cstheme="majorHAnsi"/>
          <w:color w:val="auto"/>
        </w:rPr>
        <w:t xml:space="preserve"> </w:t>
      </w:r>
      <w:r w:rsidR="00483641">
        <w:rPr>
          <w:rFonts w:ascii="Open Sans" w:eastAsiaTheme="minorEastAsia" w:hAnsi="Open Sans" w:cs="Open Sans"/>
          <w:color w:val="auto"/>
          <w:sz w:val="24"/>
          <w:szCs w:val="24"/>
        </w:rPr>
        <w:t xml:space="preserve">As local adaptations are likely minimal among different Nooksack Dace populations, we would not expect much variation in true tolerance among populations.  This function should therefore be broadly applicable to all populations of the species </w:t>
      </w:r>
      <w:r w:rsidR="00E83926" w:rsidRPr="00483641">
        <w:rPr>
          <w:rFonts w:ascii="Open Sans" w:eastAsiaTheme="minorEastAsia" w:hAnsi="Open Sans" w:cs="Open Sans"/>
          <w:color w:val="auto"/>
          <w:sz w:val="24"/>
          <w:szCs w:val="24"/>
        </w:rPr>
        <w:t>with caution.</w:t>
      </w:r>
      <w:r w:rsidR="00E83926" w:rsidRPr="005949EB">
        <w:rPr>
          <w:rFonts w:ascii="Open Sans" w:eastAsiaTheme="minorEastAsia" w:hAnsi="Open Sans" w:cs="Open Sans"/>
          <w:color w:val="auto"/>
          <w:sz w:val="24"/>
          <w:szCs w:val="24"/>
        </w:rPr>
        <w:t xml:space="preserve"> </w:t>
      </w:r>
    </w:p>
    <w:p w14:paraId="6DD5AFF6" w14:textId="77777777" w:rsidR="001605BC" w:rsidRPr="005949EB" w:rsidRDefault="001605BC" w:rsidP="001605BC"/>
    <w:p w14:paraId="73E9007B" w14:textId="39FC708F" w:rsidR="00315B1D" w:rsidRPr="005949EB" w:rsidRDefault="00315B1D" w:rsidP="00315B1D">
      <w:pPr>
        <w:pStyle w:val="Heading1"/>
        <w:spacing w:before="0" w:line="240" w:lineRule="auto"/>
        <w:rPr>
          <w:rFonts w:ascii="Open Sans" w:eastAsiaTheme="minorEastAsia" w:hAnsi="Open Sans" w:cs="Open Sans"/>
          <w:color w:val="auto"/>
          <w:sz w:val="24"/>
          <w:szCs w:val="24"/>
        </w:rPr>
      </w:pPr>
      <w:r w:rsidRPr="005949EB">
        <w:rPr>
          <w:rFonts w:ascii="Open Sans SemiBold" w:hAnsi="Open Sans SemiBold" w:cs="Open Sans SemiBold"/>
          <w:sz w:val="28"/>
          <w:szCs w:val="28"/>
          <w:u w:val="single"/>
        </w:rPr>
        <w:t>Model Validation:</w:t>
      </w:r>
      <w:r w:rsidRPr="005949EB">
        <w:rPr>
          <w:rFonts w:ascii="Open Sans" w:eastAsiaTheme="minorEastAsia" w:hAnsi="Open Sans" w:cs="Open Sans"/>
          <w:color w:val="auto"/>
          <w:sz w:val="24"/>
          <w:szCs w:val="24"/>
        </w:rPr>
        <w:t xml:space="preserve"> </w:t>
      </w:r>
      <w:r w:rsidR="00483641">
        <w:rPr>
          <w:rFonts w:ascii="Open Sans" w:eastAsiaTheme="minorEastAsia" w:hAnsi="Open Sans" w:cs="Open Sans"/>
          <w:color w:val="auto"/>
          <w:sz w:val="24"/>
          <w:szCs w:val="24"/>
        </w:rPr>
        <w:t>The m</w:t>
      </w:r>
      <w:r w:rsidRPr="005949EB">
        <w:rPr>
          <w:rFonts w:ascii="Open Sans" w:eastAsiaTheme="minorEastAsia" w:hAnsi="Open Sans" w:cs="Open Sans"/>
          <w:color w:val="auto"/>
          <w:sz w:val="24"/>
          <w:szCs w:val="24"/>
        </w:rPr>
        <w:t xml:space="preserve">odel </w:t>
      </w:r>
      <w:r w:rsidR="00483641">
        <w:rPr>
          <w:rFonts w:ascii="Open Sans" w:eastAsiaTheme="minorEastAsia" w:hAnsi="Open Sans" w:cs="Open Sans"/>
          <w:color w:val="auto"/>
          <w:sz w:val="24"/>
          <w:szCs w:val="24"/>
        </w:rPr>
        <w:t xml:space="preserve">has </w:t>
      </w:r>
      <w:r w:rsidRPr="005949EB">
        <w:rPr>
          <w:rFonts w:ascii="Open Sans" w:eastAsiaTheme="minorEastAsia" w:hAnsi="Open Sans" w:cs="Open Sans"/>
          <w:color w:val="auto"/>
          <w:sz w:val="24"/>
          <w:szCs w:val="24"/>
        </w:rPr>
        <w:t xml:space="preserve">not </w:t>
      </w:r>
      <w:r w:rsidR="00483641">
        <w:rPr>
          <w:rFonts w:ascii="Open Sans" w:eastAsiaTheme="minorEastAsia" w:hAnsi="Open Sans" w:cs="Open Sans"/>
          <w:color w:val="auto"/>
          <w:sz w:val="24"/>
          <w:szCs w:val="24"/>
        </w:rPr>
        <w:t xml:space="preserve">been </w:t>
      </w:r>
      <w:r w:rsidRPr="005949EB">
        <w:rPr>
          <w:rFonts w:ascii="Open Sans" w:eastAsiaTheme="minorEastAsia" w:hAnsi="Open Sans" w:cs="Open Sans"/>
          <w:color w:val="auto"/>
          <w:sz w:val="24"/>
          <w:szCs w:val="24"/>
        </w:rPr>
        <w:t>validated on independent data</w:t>
      </w:r>
      <w:r w:rsidR="00483641">
        <w:rPr>
          <w:rFonts w:ascii="Open Sans" w:eastAsiaTheme="minorEastAsia" w:hAnsi="Open Sans" w:cs="Open Sans"/>
          <w:color w:val="auto"/>
          <w:sz w:val="24"/>
          <w:szCs w:val="24"/>
        </w:rPr>
        <w:t xml:space="preserve"> for Nooksack Dace due to data unavailability</w:t>
      </w:r>
      <w:r w:rsidRPr="005949EB">
        <w:rPr>
          <w:rFonts w:ascii="Open Sans" w:eastAsiaTheme="minorEastAsia" w:hAnsi="Open Sans" w:cs="Open Sans"/>
          <w:color w:val="auto"/>
          <w:sz w:val="24"/>
          <w:szCs w:val="24"/>
        </w:rPr>
        <w:t xml:space="preserve">. </w:t>
      </w:r>
    </w:p>
    <w:p w14:paraId="3534E6A6" w14:textId="77777777" w:rsidR="00E0017B" w:rsidRPr="005949EB" w:rsidRDefault="00E0017B">
      <w:pPr>
        <w:rPr>
          <w:rFonts w:asciiTheme="majorHAnsi" w:hAnsiTheme="majorHAnsi" w:cstheme="majorHAnsi"/>
          <w:sz w:val="24"/>
          <w:szCs w:val="24"/>
        </w:rPr>
      </w:pPr>
      <w:r w:rsidRPr="005949EB">
        <w:rPr>
          <w:rFonts w:cstheme="majorHAnsi"/>
          <w:sz w:val="24"/>
          <w:szCs w:val="24"/>
        </w:rPr>
        <w:br w:type="page"/>
      </w:r>
    </w:p>
    <w:p w14:paraId="5EBA76D6" w14:textId="57B03316" w:rsidR="2F9CA283" w:rsidRPr="005949EB" w:rsidRDefault="16666FFA" w:rsidP="005442BA">
      <w:pPr>
        <w:pStyle w:val="Heading1"/>
        <w:keepNext w:val="0"/>
        <w:keepLines w:val="0"/>
        <w:widowControl w:val="0"/>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lastRenderedPageBreak/>
        <w:t>D</w:t>
      </w:r>
      <w:r w:rsidR="008D3EF1" w:rsidRPr="005949EB">
        <w:rPr>
          <w:rFonts w:ascii="Open Sans SemiBold" w:hAnsi="Open Sans SemiBold" w:cs="Open Sans SemiBold"/>
          <w:color w:val="004848"/>
        </w:rPr>
        <w:t>etailed SR Function Description</w:t>
      </w:r>
      <w:r w:rsidR="00F41A31">
        <w:rPr>
          <w:rFonts w:ascii="Open Sans SemiBold" w:hAnsi="Open Sans SemiBold" w:cs="Open Sans SemiBold"/>
          <w:color w:val="004848"/>
        </w:rPr>
        <w:t>:</w:t>
      </w:r>
    </w:p>
    <w:p w14:paraId="39015D5A" w14:textId="44DBF28A" w:rsidR="0018311A" w:rsidRPr="0018311A" w:rsidRDefault="00AA1D7C" w:rsidP="00D10E58">
      <w:pPr>
        <w:rPr>
          <w:rFonts w:ascii="Open Sans" w:hAnsi="Open Sans" w:cs="Open Sans"/>
        </w:rPr>
      </w:pPr>
      <w:bookmarkStart w:id="0" w:name="_Hlk158040909"/>
      <w:r w:rsidRPr="00AA1D7C">
        <w:rPr>
          <w:rStyle w:val="Heading2Char"/>
          <w:rFonts w:ascii="Open Sans" w:hAnsi="Open Sans" w:cs="Open Sans"/>
          <w:color w:val="auto"/>
          <w:sz w:val="22"/>
          <w:szCs w:val="22"/>
          <w:u w:val="none"/>
        </w:rPr>
        <w:t xml:space="preserve">The shape and threshold for the final curve is based on </w:t>
      </w:r>
      <w:r w:rsidR="00827EBF">
        <w:rPr>
          <w:rStyle w:val="Heading2Char"/>
          <w:rFonts w:ascii="Open Sans" w:hAnsi="Open Sans" w:cs="Open Sans"/>
          <w:color w:val="auto"/>
          <w:sz w:val="22"/>
          <w:szCs w:val="22"/>
          <w:u w:val="none"/>
        </w:rPr>
        <w:fldChar w:fldCharType="begin" w:fldLock="1"/>
      </w:r>
      <w:r w:rsidR="007E3311">
        <w:rPr>
          <w:rStyle w:val="Heading2Char"/>
          <w:rFonts w:ascii="Open Sans" w:hAnsi="Open Sans" w:cs="Open Sans"/>
          <w:color w:val="auto"/>
          <w:sz w:val="22"/>
          <w:szCs w:val="22"/>
          <w:u w:val="none"/>
        </w:rPr>
        <w:instrText>ADDIN CSL_CITATION {"citationItems":[{"id":"ITEM-1","itemData":{"ISBN":"9780662453871","author":[{"dropping-particle":"","family":"Pearson","given":"M.P.","non-dropping-particle":"","parse-names":false,"suffix":""},{"dropping-particle":"","family":"Hatfield","given":"T.","non-dropping-particle":"","parse-names":false,"suffix":""},{"dropping-particle":"","family":"McPhail","given":"J.D.","non-dropping-particle":"","parse-names":false,"suffix":""},{"dropping-particle":"","family":"Richardson","given":"J.S.","non-dropping-particle":"","parse-names":false,"suffix":""},{"dropping-particle":"","family":"Rosenfeld","given":"J.S.","non-dropping-particle":"","parse-names":false,"suffix":""},{"dropping-particle":"","family":"Schreier","given":"H.","non-dropping-particle":"","parse-names":false,"suffix":""},{"dropping-particle":"","family":"Schluter","given":"D.","non-dropping-particle":"","parse-names":false,"suffix":""},{"dropping-particle":"","family":"Sneep","given":"D.J.","non-dropping-particle":"","parse-names":false,"suffix":""},{"dropping-particle":"","family":"Stejpovic","given":"M.","non-dropping-particle":"","parse-names":false,"suffix":""},{"dropping-particle":"","family":"Taylor","given":"E.B.","non-dropping-particle":"","parse-names":false,"suffix":""},{"dropping-particle":"","family":"Wood","given":"P.M.","non-dropping-particle":"","parse-names":false,"suffix":""}],"edition":"Species at","id":"ITEM-1","issued":{"date-parts":[["2007"]]},"number-of-pages":"31","publisher":"Fisheries and Oceans Canada","publisher-place":"Vancouver B.C.","title":"Recovery Strategy for the Nooksack Dace ( Rhinichthys cataractae) in Canada","type":"report"},"uris":["http://www.mendeley.com/documents/?uuid=65884f34-45c6-4316-b27f-387d6bb28605"]}],"mendeley":{"formattedCitation":"(Pearson et al. 2007)","manualFormatting":"Pearson et al. (2007)","plainTextFormattedCitation":"(Pearson et al. 2007)","previouslyFormattedCitation":"(Pearson et al. 2007)"},"properties":{"noteIndex":0},"schema":"https://github.com/citation-style-language/schema/raw/master/csl-citation.json"}</w:instrText>
      </w:r>
      <w:r w:rsidR="00827EBF">
        <w:rPr>
          <w:rStyle w:val="Heading2Char"/>
          <w:rFonts w:ascii="Open Sans" w:hAnsi="Open Sans" w:cs="Open Sans"/>
          <w:color w:val="auto"/>
          <w:sz w:val="22"/>
          <w:szCs w:val="22"/>
          <w:u w:val="none"/>
        </w:rPr>
        <w:fldChar w:fldCharType="separate"/>
      </w:r>
      <w:r w:rsidR="00827EBF" w:rsidRPr="00827EBF">
        <w:rPr>
          <w:rStyle w:val="Heading2Char"/>
          <w:rFonts w:ascii="Open Sans" w:hAnsi="Open Sans" w:cs="Open Sans"/>
          <w:noProof/>
          <w:color w:val="auto"/>
          <w:sz w:val="22"/>
          <w:szCs w:val="22"/>
          <w:u w:val="none"/>
        </w:rPr>
        <w:t xml:space="preserve">Pearson et al. </w:t>
      </w:r>
      <w:r w:rsidR="00827EBF">
        <w:rPr>
          <w:rStyle w:val="Heading2Char"/>
          <w:rFonts w:ascii="Open Sans" w:hAnsi="Open Sans" w:cs="Open Sans"/>
          <w:noProof/>
          <w:color w:val="auto"/>
          <w:sz w:val="22"/>
          <w:szCs w:val="22"/>
          <w:u w:val="none"/>
        </w:rPr>
        <w:t>(</w:t>
      </w:r>
      <w:r w:rsidR="00827EBF" w:rsidRPr="00827EBF">
        <w:rPr>
          <w:rStyle w:val="Heading2Char"/>
          <w:rFonts w:ascii="Open Sans" w:hAnsi="Open Sans" w:cs="Open Sans"/>
          <w:noProof/>
          <w:color w:val="auto"/>
          <w:sz w:val="22"/>
          <w:szCs w:val="22"/>
          <w:u w:val="none"/>
        </w:rPr>
        <w:t>2007)</w:t>
      </w:r>
      <w:r w:rsidR="00827EBF">
        <w:rPr>
          <w:rStyle w:val="Heading2Char"/>
          <w:rFonts w:ascii="Open Sans" w:hAnsi="Open Sans" w:cs="Open Sans"/>
          <w:color w:val="auto"/>
          <w:sz w:val="22"/>
          <w:szCs w:val="22"/>
          <w:u w:val="none"/>
        </w:rPr>
        <w:fldChar w:fldCharType="end"/>
      </w:r>
      <w:r w:rsidR="007E3311">
        <w:rPr>
          <w:rStyle w:val="Heading2Char"/>
          <w:rFonts w:ascii="Open Sans" w:hAnsi="Open Sans" w:cs="Open Sans"/>
          <w:color w:val="auto"/>
          <w:sz w:val="22"/>
          <w:szCs w:val="22"/>
          <w:u w:val="none"/>
        </w:rPr>
        <w:t xml:space="preserve"> and </w:t>
      </w:r>
      <w:r w:rsidR="007E3311">
        <w:rPr>
          <w:rStyle w:val="Heading2Char"/>
          <w:rFonts w:ascii="Open Sans" w:hAnsi="Open Sans" w:cs="Open Sans"/>
          <w:color w:val="auto"/>
          <w:sz w:val="22"/>
          <w:szCs w:val="22"/>
          <w:u w:val="none"/>
        </w:rPr>
        <w:fldChar w:fldCharType="begin" w:fldLock="1"/>
      </w:r>
      <w:r w:rsidR="000124D6">
        <w:rPr>
          <w:rStyle w:val="Heading2Char"/>
          <w:rFonts w:ascii="Open Sans" w:hAnsi="Open Sans" w:cs="Open Sans"/>
          <w:color w:val="auto"/>
          <w:sz w:val="22"/>
          <w:szCs w:val="22"/>
          <w:u w:val="none"/>
        </w:rPr>
        <w:instrText>ADDIN CSL_CITATION {"citationItems":[{"id":"ITEM-1","itemData":{"author":[{"dropping-particle":"","family":"Pearson","given":"M. P.","non-dropping-particle":"","parse-names":false,"suffix":""}],"id":"ITEM-1","issued":{"date-parts":[["2004"]]},"publisher":"University of British Columbia","title":"The ecology, status and recovery prospects of Noonsack dace (Rhinichthys Cataractae ssp.) and Salish sucker (Catostomus sp.) in Canada","type":"thesis"},"uris":["http://www.mendeley.com/documents/?uuid=318d4b71-77ce-4dfe-a1dc-a530d1353657"]}],"mendeley":{"formattedCitation":"(Pearson 2004)","manualFormatting":"Pearson (2004)","plainTextFormattedCitation":"(Pearson 2004)","previouslyFormattedCitation":"(Pearson 2004)"},"properties":{"noteIndex":0},"schema":"https://github.com/citation-style-language/schema/raw/master/csl-citation.json"}</w:instrText>
      </w:r>
      <w:r w:rsidR="007E3311">
        <w:rPr>
          <w:rStyle w:val="Heading2Char"/>
          <w:rFonts w:ascii="Open Sans" w:hAnsi="Open Sans" w:cs="Open Sans"/>
          <w:color w:val="auto"/>
          <w:sz w:val="22"/>
          <w:szCs w:val="22"/>
          <w:u w:val="none"/>
        </w:rPr>
        <w:fldChar w:fldCharType="separate"/>
      </w:r>
      <w:r w:rsidR="007E3311" w:rsidRPr="007E3311">
        <w:rPr>
          <w:rStyle w:val="Heading2Char"/>
          <w:rFonts w:ascii="Open Sans" w:hAnsi="Open Sans" w:cs="Open Sans"/>
          <w:noProof/>
          <w:color w:val="auto"/>
          <w:sz w:val="22"/>
          <w:szCs w:val="22"/>
          <w:u w:val="none"/>
        </w:rPr>
        <w:t xml:space="preserve">Pearson </w:t>
      </w:r>
      <w:r w:rsidR="007E3311">
        <w:rPr>
          <w:rStyle w:val="Heading2Char"/>
          <w:rFonts w:ascii="Open Sans" w:hAnsi="Open Sans" w:cs="Open Sans"/>
          <w:noProof/>
          <w:color w:val="auto"/>
          <w:sz w:val="22"/>
          <w:szCs w:val="22"/>
          <w:u w:val="none"/>
        </w:rPr>
        <w:t>(</w:t>
      </w:r>
      <w:r w:rsidR="007E3311" w:rsidRPr="007E3311">
        <w:rPr>
          <w:rStyle w:val="Heading2Char"/>
          <w:rFonts w:ascii="Open Sans" w:hAnsi="Open Sans" w:cs="Open Sans"/>
          <w:noProof/>
          <w:color w:val="auto"/>
          <w:sz w:val="22"/>
          <w:szCs w:val="22"/>
          <w:u w:val="none"/>
        </w:rPr>
        <w:t>2004)</w:t>
      </w:r>
      <w:r w:rsidR="007E3311">
        <w:rPr>
          <w:rStyle w:val="Heading2Char"/>
          <w:rFonts w:ascii="Open Sans" w:hAnsi="Open Sans" w:cs="Open Sans"/>
          <w:color w:val="auto"/>
          <w:sz w:val="22"/>
          <w:szCs w:val="22"/>
          <w:u w:val="none"/>
        </w:rPr>
        <w:fldChar w:fldCharType="end"/>
      </w:r>
      <w:r>
        <w:rPr>
          <w:rStyle w:val="Heading2Char"/>
          <w:rFonts w:ascii="Open Sans" w:hAnsi="Open Sans" w:cs="Open Sans"/>
          <w:color w:val="auto"/>
          <w:sz w:val="22"/>
          <w:szCs w:val="22"/>
          <w:u w:val="none"/>
        </w:rPr>
        <w:t xml:space="preserve">, which shows a </w:t>
      </w:r>
      <w:r w:rsidR="00E61244">
        <w:rPr>
          <w:rStyle w:val="Heading2Char"/>
          <w:rFonts w:ascii="Open Sans" w:hAnsi="Open Sans" w:cs="Open Sans"/>
          <w:color w:val="auto"/>
          <w:sz w:val="22"/>
          <w:szCs w:val="22"/>
          <w:u w:val="none"/>
        </w:rPr>
        <w:t xml:space="preserve">large </w:t>
      </w:r>
      <w:r>
        <w:rPr>
          <w:rStyle w:val="Heading2Char"/>
          <w:rFonts w:ascii="Open Sans" w:hAnsi="Open Sans" w:cs="Open Sans"/>
          <w:color w:val="auto"/>
          <w:sz w:val="22"/>
          <w:szCs w:val="22"/>
          <w:u w:val="none"/>
        </w:rPr>
        <w:t xml:space="preserve">decline in percent reaches occupied by Nooksack Dace when </w:t>
      </w:r>
      <w:r w:rsidR="00C937CF">
        <w:rPr>
          <w:rStyle w:val="Heading2Char"/>
          <w:rFonts w:ascii="Open Sans" w:hAnsi="Open Sans" w:cs="Open Sans"/>
          <w:color w:val="auto"/>
          <w:sz w:val="22"/>
          <w:szCs w:val="22"/>
          <w:u w:val="none"/>
        </w:rPr>
        <w:t xml:space="preserve">the </w:t>
      </w:r>
      <w:r>
        <w:rPr>
          <w:rStyle w:val="Heading2Char"/>
          <w:rFonts w:ascii="Open Sans" w:hAnsi="Open Sans" w:cs="Open Sans"/>
          <w:color w:val="auto"/>
          <w:sz w:val="22"/>
          <w:szCs w:val="22"/>
          <w:u w:val="none"/>
        </w:rPr>
        <w:t xml:space="preserve">percent riffle in </w:t>
      </w:r>
      <w:r w:rsidR="00C937CF">
        <w:rPr>
          <w:rStyle w:val="Heading2Char"/>
          <w:rFonts w:ascii="Open Sans" w:hAnsi="Open Sans" w:cs="Open Sans"/>
          <w:color w:val="auto"/>
          <w:sz w:val="22"/>
          <w:szCs w:val="22"/>
          <w:u w:val="none"/>
        </w:rPr>
        <w:t xml:space="preserve">a </w:t>
      </w:r>
      <w:r>
        <w:rPr>
          <w:rStyle w:val="Heading2Char"/>
          <w:rFonts w:ascii="Open Sans" w:hAnsi="Open Sans" w:cs="Open Sans"/>
          <w:color w:val="auto"/>
          <w:sz w:val="22"/>
          <w:szCs w:val="22"/>
          <w:u w:val="none"/>
        </w:rPr>
        <w:t xml:space="preserve">reach in below </w:t>
      </w:r>
      <w:r w:rsidR="0018311A">
        <w:rPr>
          <w:rStyle w:val="Heading2Char"/>
          <w:rFonts w:ascii="Open Sans" w:hAnsi="Open Sans" w:cs="Open Sans"/>
          <w:color w:val="auto"/>
          <w:sz w:val="22"/>
          <w:szCs w:val="22"/>
          <w:u w:val="none"/>
        </w:rPr>
        <w:t>5-</w:t>
      </w:r>
      <w:r>
        <w:rPr>
          <w:rStyle w:val="Heading2Char"/>
          <w:rFonts w:ascii="Open Sans" w:hAnsi="Open Sans" w:cs="Open Sans"/>
          <w:color w:val="auto"/>
          <w:sz w:val="22"/>
          <w:szCs w:val="22"/>
          <w:u w:val="none"/>
        </w:rPr>
        <w:t>10%</w:t>
      </w:r>
      <w:r w:rsidR="00A06383">
        <w:rPr>
          <w:rStyle w:val="Heading2Char"/>
          <w:rFonts w:ascii="Open Sans" w:hAnsi="Open Sans" w:cs="Open Sans"/>
          <w:color w:val="auto"/>
          <w:sz w:val="22"/>
          <w:szCs w:val="22"/>
          <w:u w:val="none"/>
        </w:rPr>
        <w:t xml:space="preserve"> (Figure 1)</w:t>
      </w:r>
      <w:r w:rsidR="00D10E58">
        <w:rPr>
          <w:rStyle w:val="Heading2Char"/>
          <w:rFonts w:ascii="Open Sans" w:hAnsi="Open Sans" w:cs="Open Sans"/>
          <w:color w:val="auto"/>
          <w:sz w:val="22"/>
          <w:szCs w:val="22"/>
          <w:u w:val="none"/>
        </w:rPr>
        <w:t xml:space="preserve">.  </w:t>
      </w:r>
      <w:r w:rsidR="0018311A" w:rsidRPr="0018311A">
        <w:rPr>
          <w:rFonts w:ascii="Open Sans" w:hAnsi="Open Sans" w:cs="Open Sans"/>
        </w:rPr>
        <w:t xml:space="preserve">The definition of Critical Habitat for Nooksack Dace includes reaches that are greater than 10% riffle, because reaches with less than 10% riffle tend to have lower riffle occupancy, presumably because the less hospitable habitat between riffles (i.e., low suitability pool habitat) reduces the likelihood of the overall reach supporting a local dace population.  Occupancy drops noticeably at  5% riffle, and then approaches zero occupancy at 0% riffle (see Fig. </w:t>
      </w:r>
      <w:r w:rsidR="00A06383">
        <w:rPr>
          <w:rFonts w:ascii="Open Sans" w:hAnsi="Open Sans" w:cs="Open Sans"/>
        </w:rPr>
        <w:t>2</w:t>
      </w:r>
      <w:r w:rsidR="0018311A" w:rsidRPr="0018311A">
        <w:rPr>
          <w:rFonts w:ascii="Open Sans" w:hAnsi="Open Sans" w:cs="Open Sans"/>
        </w:rPr>
        <w:t xml:space="preserve"> below).  However, the logic that reaches above 10% riffle have equivalent habitat capacity - implicit in the plateau at a habitat suitability of 1 in the Edwards et al. (1983) habitat suitability curve</w:t>
      </w:r>
      <w:r w:rsidR="00A06383">
        <w:rPr>
          <w:rFonts w:ascii="Open Sans" w:hAnsi="Open Sans" w:cs="Open Sans"/>
        </w:rPr>
        <w:t xml:space="preserve"> (Fig. 2)</w:t>
      </w:r>
      <w:r w:rsidR="0018311A" w:rsidRPr="0018311A">
        <w:rPr>
          <w:rFonts w:ascii="Open Sans" w:hAnsi="Open Sans" w:cs="Open Sans"/>
        </w:rPr>
        <w:t xml:space="preserve">, and Pearson 2007 </w:t>
      </w:r>
      <w:r w:rsidR="00A06383">
        <w:rPr>
          <w:rFonts w:ascii="Open Sans" w:hAnsi="Open Sans" w:cs="Open Sans"/>
        </w:rPr>
        <w:t>(Fig. 1)</w:t>
      </w:r>
      <w:r w:rsidR="0018311A" w:rsidRPr="0018311A">
        <w:rPr>
          <w:rFonts w:ascii="Open Sans" w:hAnsi="Open Sans" w:cs="Open Sans"/>
        </w:rPr>
        <w:t xml:space="preserve"> is flawed.  Logically, the abundance of dace should be directly proportional to riffle area in a reach (i.e. % riffle), all else being equal.  This means that there should be a linear relationships between % riffle and habitat capacity, i.e. a direct 1:1 relationship, rather than the direct implication of the Edwards et al. line that dace abundance is equal in reaches ranging from </w:t>
      </w:r>
      <w:r w:rsidR="00A06383">
        <w:rPr>
          <w:rFonts w:ascii="Open Sans" w:hAnsi="Open Sans" w:cs="Open Sans"/>
        </w:rPr>
        <w:t>25</w:t>
      </w:r>
      <w:r w:rsidR="0018311A" w:rsidRPr="0018311A">
        <w:rPr>
          <w:rFonts w:ascii="Open Sans" w:hAnsi="Open Sans" w:cs="Open Sans"/>
        </w:rPr>
        <w:t xml:space="preserve">-80% riffle, which is somewhat nonsensical.   </w:t>
      </w:r>
    </w:p>
    <w:p w14:paraId="046722FC" w14:textId="086918A2" w:rsidR="0018311A" w:rsidRDefault="0018311A" w:rsidP="00A06383">
      <w:pPr>
        <w:contextualSpacing/>
      </w:pPr>
      <w:r w:rsidRPr="0018311A">
        <w:rPr>
          <w:rFonts w:ascii="Open Sans" w:hAnsi="Open Sans" w:cs="Open Sans"/>
        </w:rPr>
        <w:t>The SR function has therefore been altered so that habitat capacity (relative dace abundance) is zero at 0% riffle, increases steeply from 5% to 10% riffle at the reach scale, and then at a reduced rate at higher riffle abundance until it plateaus at 100% capacity at 30% riffle.  100% capacity (the plateau breakpoint) was not set at 80% or 100% riffle because the low gradient of most Nooksack Dace reaches (aside from in the Brunette</w:t>
      </w:r>
      <w:r w:rsidR="002E6123">
        <w:rPr>
          <w:rFonts w:ascii="Open Sans" w:hAnsi="Open Sans" w:cs="Open Sans"/>
        </w:rPr>
        <w:t xml:space="preserve"> River</w:t>
      </w:r>
      <w:r w:rsidRPr="0018311A">
        <w:rPr>
          <w:rFonts w:ascii="Open Sans" w:hAnsi="Open Sans" w:cs="Open Sans"/>
        </w:rPr>
        <w:t>) means that achieving more than 25-3</w:t>
      </w:r>
      <w:r w:rsidR="002E6123">
        <w:rPr>
          <w:rFonts w:ascii="Open Sans" w:hAnsi="Open Sans" w:cs="Open Sans"/>
        </w:rPr>
        <w:t>0</w:t>
      </w:r>
      <w:r w:rsidRPr="0018311A">
        <w:rPr>
          <w:rFonts w:ascii="Open Sans" w:hAnsi="Open Sans" w:cs="Open Sans"/>
        </w:rPr>
        <w:t xml:space="preserve">% riffle would be geomorphically impossible.  In addition, the highest reference densities of dace occur in Bertrand Creek which has a maximum % riffle in the range of 30%; setting 100% capacity at 30% riffle therefor ensures that current maximum capacity will be achieved in the reaches with maximum possible % riffle. This is broadly realistic, because some reaches in Bertrand creek with ~15% riffle currently support healthy populations of dace, and the steep slope between 5-15% riffle will allow for rapidly increased carrying capacity over this range.  While the curve allows for increase capacity at a higher proportion of riffle habitat up to 30%, the incremental benefits are likely lower.  </w:t>
      </w:r>
      <w:r w:rsidRPr="0018311A">
        <w:rPr>
          <w:rFonts w:ascii="Open Sans" w:hAnsi="Open Sans" w:cs="Open Sans"/>
          <w:b/>
          <w:bCs/>
        </w:rPr>
        <w:t>NOTE</w:t>
      </w:r>
      <w:r w:rsidRPr="0018311A">
        <w:rPr>
          <w:rFonts w:ascii="Open Sans" w:hAnsi="Open Sans" w:cs="Open Sans"/>
        </w:rPr>
        <w:t xml:space="preserve">, however, that this SR function only applies to "Joe" model applications with </w:t>
      </w:r>
      <w:r w:rsidRPr="002E6123">
        <w:rPr>
          <w:rFonts w:ascii="Open Sans" w:hAnsi="Open Sans" w:cs="Open Sans"/>
        </w:rPr>
        <w:t>relative</w:t>
      </w:r>
      <w:r w:rsidRPr="0018311A">
        <w:rPr>
          <w:rFonts w:ascii="Open Sans" w:hAnsi="Open Sans" w:cs="Open Sans"/>
        </w:rPr>
        <w:t xml:space="preserve"> habitat capacity</w:t>
      </w:r>
      <w:r w:rsidR="002E6123">
        <w:rPr>
          <w:rFonts w:ascii="Open Sans" w:hAnsi="Open Sans" w:cs="Open Sans"/>
        </w:rPr>
        <w:t xml:space="preserve"> where the reference state is set at 100% capacity (in this case, corresponding to 30% riffle)</w:t>
      </w:r>
      <w:r w:rsidRPr="0018311A">
        <w:rPr>
          <w:rFonts w:ascii="Open Sans" w:hAnsi="Open Sans" w:cs="Open Sans"/>
        </w:rPr>
        <w:t>. If dace abundance is being directly estimated based on the product of maximum density and wetted area of the reach, then the relationship between % riffle habitat and habitat capacity (or population size) should be treated as linear in direct calculation of population abundance.</w:t>
      </w:r>
      <w:r>
        <w:t xml:space="preserve">  </w:t>
      </w:r>
    </w:p>
    <w:p w14:paraId="6D020DD6" w14:textId="77777777" w:rsidR="0018311A" w:rsidRDefault="0018311A" w:rsidP="00D10E58">
      <w:pPr>
        <w:rPr>
          <w:rStyle w:val="Heading2Char"/>
          <w:rFonts w:ascii="Open Sans" w:hAnsi="Open Sans" w:cs="Open Sans"/>
          <w:color w:val="auto"/>
          <w:sz w:val="22"/>
          <w:szCs w:val="22"/>
          <w:u w:val="none"/>
        </w:rPr>
      </w:pPr>
    </w:p>
    <w:p w14:paraId="6106D513" w14:textId="2AF3EA93" w:rsidR="00D10E58" w:rsidRDefault="00D10E58" w:rsidP="00A353D2">
      <w:pPr>
        <w:rPr>
          <w:rStyle w:val="Heading2Char"/>
          <w:rFonts w:ascii="Open Sans" w:hAnsi="Open Sans" w:cs="Open Sans"/>
          <w:color w:val="auto"/>
          <w:sz w:val="22"/>
          <w:szCs w:val="22"/>
          <w:u w:val="none"/>
        </w:rPr>
      </w:pPr>
      <w:r>
        <w:rPr>
          <w:rStyle w:val="Heading2Char"/>
          <w:rFonts w:ascii="Open Sans" w:hAnsi="Open Sans" w:cs="Open Sans"/>
          <w:noProof/>
          <w:color w:val="auto"/>
          <w:sz w:val="22"/>
          <w:szCs w:val="22"/>
          <w:u w:val="none"/>
        </w:rPr>
        <w:lastRenderedPageBreak/>
        <w:drawing>
          <wp:inline distT="0" distB="0" distL="0" distR="0" wp14:anchorId="4E8DD31B" wp14:editId="5227EBC1">
            <wp:extent cx="5378450" cy="3453996"/>
            <wp:effectExtent l="0" t="0" r="0" b="0"/>
            <wp:docPr id="180082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942" cy="3462661"/>
                    </a:xfrm>
                    <a:prstGeom prst="rect">
                      <a:avLst/>
                    </a:prstGeom>
                    <a:noFill/>
                  </pic:spPr>
                </pic:pic>
              </a:graphicData>
            </a:graphic>
          </wp:inline>
        </w:drawing>
      </w:r>
    </w:p>
    <w:p w14:paraId="5E249D46" w14:textId="77777777" w:rsidR="00A06383" w:rsidRDefault="00A06383" w:rsidP="00A353D2">
      <w:pPr>
        <w:rPr>
          <w:rStyle w:val="Heading2Char"/>
          <w:rFonts w:ascii="Open Sans" w:hAnsi="Open Sans" w:cs="Open Sans"/>
          <w:color w:val="auto"/>
          <w:sz w:val="22"/>
          <w:szCs w:val="22"/>
          <w:u w:val="none"/>
        </w:rPr>
      </w:pPr>
    </w:p>
    <w:p w14:paraId="2A684245" w14:textId="31CBA705" w:rsidR="00A06383" w:rsidRDefault="00A06383" w:rsidP="00A353D2">
      <w:pPr>
        <w:rPr>
          <w:rStyle w:val="Heading2Char"/>
          <w:rFonts w:ascii="Open Sans" w:hAnsi="Open Sans" w:cs="Open Sans"/>
          <w:color w:val="auto"/>
          <w:sz w:val="22"/>
          <w:szCs w:val="22"/>
          <w:u w:val="none"/>
        </w:rPr>
      </w:pPr>
    </w:p>
    <w:p w14:paraId="07137735" w14:textId="7467A1C6" w:rsidR="00D10E58" w:rsidRDefault="00B5031E" w:rsidP="00A353D2">
      <w:pPr>
        <w:rPr>
          <w:rStyle w:val="Heading2Char"/>
          <w:rFonts w:ascii="Open Sans" w:hAnsi="Open Sans" w:cs="Open Sans"/>
          <w:color w:val="auto"/>
          <w:sz w:val="22"/>
          <w:szCs w:val="22"/>
          <w:u w:val="none"/>
        </w:rPr>
      </w:pPr>
      <w:r>
        <w:rPr>
          <w:rStyle w:val="Heading2Char"/>
          <w:rFonts w:ascii="Open Sans" w:hAnsi="Open Sans" w:cs="Open Sans"/>
          <w:noProof/>
          <w:color w:val="auto"/>
          <w:sz w:val="22"/>
          <w:szCs w:val="22"/>
          <w:u w:val="none"/>
        </w:rPr>
        <w:drawing>
          <wp:inline distT="0" distB="0" distL="0" distR="0" wp14:anchorId="46B61E6B" wp14:editId="2B87DC7B">
            <wp:extent cx="6390331" cy="3308350"/>
            <wp:effectExtent l="0" t="0" r="0" b="0"/>
            <wp:docPr id="1118385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8990" cy="3312833"/>
                    </a:xfrm>
                    <a:prstGeom prst="rect">
                      <a:avLst/>
                    </a:prstGeom>
                    <a:noFill/>
                  </pic:spPr>
                </pic:pic>
              </a:graphicData>
            </a:graphic>
          </wp:inline>
        </w:drawing>
      </w:r>
    </w:p>
    <w:p w14:paraId="6C2E8BEE" w14:textId="77777777" w:rsidR="00D10E58" w:rsidRPr="00A353D2" w:rsidRDefault="00D10E58" w:rsidP="00A353D2"/>
    <w:p w14:paraId="5196D71C" w14:textId="77777777" w:rsidR="005801B1" w:rsidRDefault="005801B1" w:rsidP="00A8467C">
      <w:pPr>
        <w:pStyle w:val="Heading2"/>
        <w:rPr>
          <w:rStyle w:val="Heading2Char"/>
          <w:sz w:val="28"/>
          <w:szCs w:val="28"/>
        </w:rPr>
      </w:pPr>
    </w:p>
    <w:p w14:paraId="228C7F28" w14:textId="0548B6BB" w:rsidR="009809ED" w:rsidRPr="005949EB" w:rsidRDefault="00AF2A03" w:rsidP="00A8467C">
      <w:pPr>
        <w:pStyle w:val="Heading2"/>
        <w:rPr>
          <w:rStyle w:val="Heading2Char"/>
          <w:sz w:val="28"/>
          <w:szCs w:val="28"/>
        </w:rPr>
      </w:pPr>
      <w:r w:rsidRPr="005949EB">
        <w:rPr>
          <w:rStyle w:val="Heading2Char"/>
          <w:sz w:val="28"/>
          <w:szCs w:val="28"/>
        </w:rPr>
        <w:lastRenderedPageBreak/>
        <w:t>Source of stressor data to apply the function:</w:t>
      </w:r>
      <w:bookmarkEnd w:id="0"/>
    </w:p>
    <w:p w14:paraId="1DE41908" w14:textId="2635FC72" w:rsidR="00896B24" w:rsidRDefault="00E61244" w:rsidP="00080D29">
      <w:pPr>
        <w:pStyle w:val="Heading1"/>
        <w:keepNext w:val="0"/>
        <w:keepLines w:val="0"/>
        <w:widowControl w:val="0"/>
        <w:spacing w:before="0" w:line="240" w:lineRule="auto"/>
        <w:rPr>
          <w:rFonts w:ascii="Open Sans SemiBold" w:hAnsi="Open Sans SemiBold" w:cs="Open Sans SemiBold"/>
          <w:color w:val="004848"/>
        </w:rPr>
      </w:pPr>
      <w:r>
        <w:rPr>
          <w:rStyle w:val="Heading2Char"/>
          <w:rFonts w:ascii="Open Sans" w:hAnsi="Open Sans" w:cs="Open Sans"/>
          <w:color w:val="auto"/>
          <w:sz w:val="22"/>
          <w:szCs w:val="22"/>
          <w:u w:val="none"/>
        </w:rPr>
        <w:t xml:space="preserve">Percent riffle data is available for most (but not all) reaches in Bertrand, Pepin, </w:t>
      </w:r>
      <w:r w:rsidR="00211230">
        <w:rPr>
          <w:rStyle w:val="Heading2Char"/>
          <w:rFonts w:ascii="Open Sans" w:hAnsi="Open Sans" w:cs="Open Sans"/>
          <w:color w:val="auto"/>
          <w:sz w:val="22"/>
          <w:szCs w:val="22"/>
          <w:u w:val="none"/>
        </w:rPr>
        <w:t xml:space="preserve">and </w:t>
      </w:r>
      <w:r>
        <w:rPr>
          <w:rStyle w:val="Heading2Char"/>
          <w:rFonts w:ascii="Open Sans" w:hAnsi="Open Sans" w:cs="Open Sans"/>
          <w:color w:val="auto"/>
          <w:sz w:val="22"/>
          <w:szCs w:val="22"/>
          <w:u w:val="none"/>
        </w:rPr>
        <w:t>Fishtrap Creeks, collected as part of Pearson (2004) and subsequent field work to define critical habitat for Nooksa</w:t>
      </w:r>
      <w:r w:rsidR="00E02533">
        <w:rPr>
          <w:rStyle w:val="Heading2Char"/>
          <w:rFonts w:ascii="Open Sans" w:hAnsi="Open Sans" w:cs="Open Sans"/>
          <w:color w:val="auto"/>
          <w:sz w:val="22"/>
          <w:szCs w:val="22"/>
          <w:u w:val="none"/>
        </w:rPr>
        <w:t>c</w:t>
      </w:r>
      <w:r>
        <w:rPr>
          <w:rStyle w:val="Heading2Char"/>
          <w:rFonts w:ascii="Open Sans" w:hAnsi="Open Sans" w:cs="Open Sans"/>
          <w:color w:val="auto"/>
          <w:sz w:val="22"/>
          <w:szCs w:val="22"/>
          <w:u w:val="none"/>
        </w:rPr>
        <w:t>k dace.</w:t>
      </w:r>
    </w:p>
    <w:p w14:paraId="5D69AA9C" w14:textId="77777777" w:rsidR="00DD51D5" w:rsidRDefault="00DD51D5" w:rsidP="00B5031E">
      <w:pPr>
        <w:pStyle w:val="Heading1"/>
        <w:keepNext w:val="0"/>
        <w:keepLines w:val="0"/>
        <w:widowControl w:val="0"/>
        <w:tabs>
          <w:tab w:val="left" w:pos="5490"/>
        </w:tabs>
        <w:spacing w:before="0" w:line="240" w:lineRule="auto"/>
        <w:rPr>
          <w:rFonts w:ascii="Open Sans SemiBold" w:hAnsi="Open Sans SemiBold" w:cs="Open Sans SemiBold"/>
          <w:color w:val="004848"/>
        </w:rPr>
      </w:pPr>
    </w:p>
    <w:p w14:paraId="69E1DA2C" w14:textId="0FD4450D" w:rsidR="009402F4" w:rsidRDefault="00FE22CD" w:rsidP="00B5031E">
      <w:pPr>
        <w:pStyle w:val="Heading1"/>
        <w:keepNext w:val="0"/>
        <w:keepLines w:val="0"/>
        <w:widowControl w:val="0"/>
        <w:tabs>
          <w:tab w:val="left" w:pos="5490"/>
        </w:tabs>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t xml:space="preserve">Stressor-Response </w:t>
      </w:r>
      <w:r w:rsidR="006D6A89" w:rsidRPr="005949EB">
        <w:rPr>
          <w:rFonts w:ascii="Open Sans SemiBold" w:hAnsi="Open Sans SemiBold" w:cs="Open Sans SemiBold"/>
          <w:color w:val="004848"/>
        </w:rPr>
        <w:t>Function</w:t>
      </w:r>
      <w:r w:rsidR="00B5031E">
        <w:rPr>
          <w:rFonts w:ascii="Open Sans SemiBold" w:hAnsi="Open Sans SemiBold" w:cs="Open Sans SemiBold"/>
          <w:color w:val="004848"/>
        </w:rPr>
        <w:tab/>
      </w:r>
    </w:p>
    <w:p w14:paraId="63DFA4B7" w14:textId="08C3A3AF" w:rsidR="00AA73D6" w:rsidRDefault="00B5031E" w:rsidP="00AA73D6">
      <w:r>
        <w:rPr>
          <w:rFonts w:ascii="Open Sans SemiBold" w:hAnsi="Open Sans SemiBold" w:cs="Open Sans SemiBold"/>
          <w:noProof/>
        </w:rPr>
        <w:drawing>
          <wp:anchor distT="0" distB="0" distL="114300" distR="114300" simplePos="0" relativeHeight="251660288" behindDoc="0" locked="0" layoutInCell="1" allowOverlap="1" wp14:anchorId="62CCE548" wp14:editId="28F55C44">
            <wp:simplePos x="0" y="0"/>
            <wp:positionH relativeFrom="margin">
              <wp:posOffset>190500</wp:posOffset>
            </wp:positionH>
            <wp:positionV relativeFrom="paragraph">
              <wp:posOffset>5080</wp:posOffset>
            </wp:positionV>
            <wp:extent cx="4679950" cy="3096260"/>
            <wp:effectExtent l="0" t="0" r="6350" b="8890"/>
            <wp:wrapSquare wrapText="bothSides"/>
            <wp:docPr id="352278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0" cy="3096260"/>
                    </a:xfrm>
                    <a:prstGeom prst="rect">
                      <a:avLst/>
                    </a:prstGeom>
                    <a:noFill/>
                  </pic:spPr>
                </pic:pic>
              </a:graphicData>
            </a:graphic>
            <wp14:sizeRelH relativeFrom="margin">
              <wp14:pctWidth>0</wp14:pctWidth>
            </wp14:sizeRelH>
            <wp14:sizeRelV relativeFrom="margin">
              <wp14:pctHeight>0</wp14:pctHeight>
            </wp14:sizeRelV>
          </wp:anchor>
        </w:drawing>
      </w:r>
    </w:p>
    <w:p w14:paraId="383A6D95" w14:textId="77777777" w:rsidR="00B5031E" w:rsidRPr="00B5031E" w:rsidRDefault="00B5031E" w:rsidP="00B5031E"/>
    <w:p w14:paraId="4B2DE7B2" w14:textId="77777777" w:rsidR="00B5031E" w:rsidRPr="00B5031E" w:rsidRDefault="00B5031E" w:rsidP="00B5031E"/>
    <w:p w14:paraId="1B81E1B1" w14:textId="77777777" w:rsidR="00B5031E" w:rsidRPr="00B5031E" w:rsidRDefault="00B5031E" w:rsidP="00B5031E"/>
    <w:p w14:paraId="26E8771A" w14:textId="77777777" w:rsidR="00B5031E" w:rsidRPr="00B5031E" w:rsidRDefault="00B5031E" w:rsidP="00B5031E"/>
    <w:p w14:paraId="61B3D684" w14:textId="77777777" w:rsidR="00B5031E" w:rsidRPr="00B5031E" w:rsidRDefault="00B5031E" w:rsidP="00B5031E"/>
    <w:p w14:paraId="7869835F" w14:textId="77777777" w:rsidR="00B5031E" w:rsidRPr="00B5031E" w:rsidRDefault="00B5031E" w:rsidP="00B5031E"/>
    <w:p w14:paraId="2E279259" w14:textId="77777777" w:rsidR="00B5031E" w:rsidRPr="00B5031E" w:rsidRDefault="00B5031E" w:rsidP="00B5031E"/>
    <w:p w14:paraId="359E94AC" w14:textId="77777777" w:rsidR="00B5031E" w:rsidRDefault="00B5031E" w:rsidP="00B5031E"/>
    <w:p w14:paraId="4CAD5591" w14:textId="77777777" w:rsidR="00B5031E" w:rsidRDefault="00B5031E" w:rsidP="00B5031E"/>
    <w:p w14:paraId="2E33A9A1" w14:textId="77777777" w:rsidR="00B5031E" w:rsidRDefault="00B5031E" w:rsidP="00B5031E"/>
    <w:p w14:paraId="435EF9E5" w14:textId="3A6E7ADB" w:rsidR="00E45F7A" w:rsidRDefault="00FE22CD" w:rsidP="00AA73D6">
      <w:pPr>
        <w:pStyle w:val="Caption"/>
        <w:rPr>
          <w:rFonts w:ascii="Open Sans" w:hAnsi="Open Sans" w:cs="Open Sans"/>
          <w:i w:val="0"/>
          <w:iCs w:val="0"/>
          <w:sz w:val="22"/>
          <w:szCs w:val="22"/>
        </w:rPr>
      </w:pPr>
      <w:r w:rsidRPr="005949EB">
        <w:rPr>
          <w:rFonts w:ascii="Open Sans" w:hAnsi="Open Sans" w:cs="Open Sans"/>
          <w:b/>
          <w:bCs/>
          <w:i w:val="0"/>
          <w:iCs w:val="0"/>
          <w:sz w:val="22"/>
          <w:szCs w:val="22"/>
        </w:rPr>
        <w:t xml:space="preserve">Figure </w:t>
      </w:r>
      <w:r w:rsidR="00A06383">
        <w:rPr>
          <w:rFonts w:ascii="Open Sans" w:hAnsi="Open Sans" w:cs="Open Sans"/>
          <w:b/>
          <w:bCs/>
          <w:i w:val="0"/>
          <w:iCs w:val="0"/>
          <w:sz w:val="22"/>
          <w:szCs w:val="22"/>
        </w:rPr>
        <w:t>3.</w:t>
      </w:r>
      <w:r w:rsidRPr="005949EB">
        <w:rPr>
          <w:rFonts w:ascii="Open Sans" w:hAnsi="Open Sans" w:cs="Open Sans"/>
          <w:b/>
          <w:bCs/>
          <w:i w:val="0"/>
          <w:iCs w:val="0"/>
          <w:sz w:val="22"/>
          <w:szCs w:val="22"/>
        </w:rPr>
        <w:t xml:space="preserve"> </w:t>
      </w:r>
      <w:r w:rsidR="009F394D" w:rsidRPr="008B06AF">
        <w:rPr>
          <w:rFonts w:ascii="Open Sans" w:hAnsi="Open Sans" w:cs="Open Sans"/>
          <w:i w:val="0"/>
          <w:iCs w:val="0"/>
          <w:sz w:val="22"/>
          <w:szCs w:val="22"/>
        </w:rPr>
        <w:t xml:space="preserve">Stressor-response curve depicting the expected </w:t>
      </w:r>
      <w:r w:rsidR="00DD51D5" w:rsidRPr="008B06AF">
        <w:rPr>
          <w:rFonts w:ascii="Open Sans" w:hAnsi="Open Sans" w:cs="Open Sans"/>
          <w:i w:val="0"/>
          <w:iCs w:val="0"/>
          <w:sz w:val="22"/>
          <w:szCs w:val="22"/>
        </w:rPr>
        <w:t>relationsh</w:t>
      </w:r>
      <w:r w:rsidR="00DD51D5">
        <w:rPr>
          <w:rFonts w:ascii="Open Sans" w:hAnsi="Open Sans" w:cs="Open Sans"/>
          <w:i w:val="0"/>
          <w:iCs w:val="0"/>
          <w:sz w:val="22"/>
          <w:szCs w:val="22"/>
        </w:rPr>
        <w:t>i</w:t>
      </w:r>
      <w:r w:rsidR="00DD51D5" w:rsidRPr="008B06AF">
        <w:rPr>
          <w:rFonts w:ascii="Open Sans" w:hAnsi="Open Sans" w:cs="Open Sans"/>
          <w:i w:val="0"/>
          <w:iCs w:val="0"/>
          <w:sz w:val="22"/>
          <w:szCs w:val="22"/>
        </w:rPr>
        <w:t>p</w:t>
      </w:r>
      <w:r w:rsidR="009F394D" w:rsidRPr="008B06AF">
        <w:rPr>
          <w:rFonts w:ascii="Open Sans" w:hAnsi="Open Sans" w:cs="Open Sans"/>
          <w:i w:val="0"/>
          <w:iCs w:val="0"/>
          <w:sz w:val="22"/>
          <w:szCs w:val="22"/>
        </w:rPr>
        <w:t xml:space="preserve"> between </w:t>
      </w:r>
      <w:r w:rsidR="000A7CBE">
        <w:rPr>
          <w:rFonts w:ascii="Open Sans" w:hAnsi="Open Sans" w:cs="Open Sans"/>
          <w:i w:val="0"/>
          <w:iCs w:val="0"/>
          <w:sz w:val="22"/>
          <w:szCs w:val="22"/>
        </w:rPr>
        <w:t>Percent Riffle in Reach</w:t>
      </w:r>
      <w:r w:rsidR="009F394D" w:rsidRPr="008B06AF">
        <w:rPr>
          <w:rFonts w:ascii="Open Sans" w:hAnsi="Open Sans" w:cs="Open Sans"/>
          <w:i w:val="0"/>
          <w:iCs w:val="0"/>
          <w:sz w:val="22"/>
          <w:szCs w:val="22"/>
        </w:rPr>
        <w:t xml:space="preserve"> and the system capacity of </w:t>
      </w:r>
      <w:r w:rsidR="009F394D">
        <w:rPr>
          <w:rFonts w:ascii="Open Sans" w:hAnsi="Open Sans" w:cs="Open Sans"/>
          <w:i w:val="0"/>
          <w:iCs w:val="0"/>
          <w:sz w:val="22"/>
          <w:szCs w:val="22"/>
        </w:rPr>
        <w:t>Nooksack Dace</w:t>
      </w:r>
      <w:r w:rsidR="00E45F7A" w:rsidRPr="005949EB">
        <w:rPr>
          <w:rFonts w:ascii="Open Sans" w:hAnsi="Open Sans" w:cs="Open Sans"/>
          <w:i w:val="0"/>
          <w:iCs w:val="0"/>
          <w:sz w:val="22"/>
          <w:szCs w:val="22"/>
        </w:rPr>
        <w:t xml:space="preserve">. </w:t>
      </w:r>
    </w:p>
    <w:p w14:paraId="2FEFCCA8" w14:textId="5004BCBC" w:rsidR="00FE22CD" w:rsidRPr="005949EB" w:rsidRDefault="00FE22CD" w:rsidP="0057170E">
      <w:pPr>
        <w:pStyle w:val="Caption"/>
        <w:ind w:left="720" w:hanging="720"/>
        <w:rPr>
          <w:rFonts w:ascii="Open Sans SemiBold" w:eastAsiaTheme="majorEastAsia" w:hAnsi="Open Sans SemiBold" w:cs="Open Sans SemiBold"/>
          <w:i w:val="0"/>
          <w:iCs w:val="0"/>
          <w:color w:val="004848"/>
          <w:sz w:val="32"/>
          <w:szCs w:val="32"/>
        </w:rPr>
      </w:pPr>
      <w:r w:rsidRPr="005949EB">
        <w:rPr>
          <w:rFonts w:ascii="Open Sans SemiBold" w:eastAsiaTheme="majorEastAsia" w:hAnsi="Open Sans SemiBold" w:cs="Open Sans SemiBold"/>
          <w:i w:val="0"/>
          <w:iCs w:val="0"/>
          <w:color w:val="004848"/>
          <w:sz w:val="32"/>
          <w:szCs w:val="32"/>
        </w:rPr>
        <w:t>Stressor-Response Table</w:t>
      </w:r>
    </w:p>
    <w:p w14:paraId="350DE223" w14:textId="7E01AA44" w:rsidR="0037783F" w:rsidRDefault="0037783F" w:rsidP="00A06383">
      <w:pPr>
        <w:pStyle w:val="Caption"/>
        <w:ind w:left="720" w:hanging="578"/>
        <w:rPr>
          <w:rFonts w:ascii="Open Sans" w:hAnsi="Open Sans" w:cs="Open Sans"/>
          <w:i w:val="0"/>
          <w:iCs w:val="0"/>
          <w:sz w:val="22"/>
          <w:szCs w:val="22"/>
        </w:rPr>
      </w:pPr>
      <w:r w:rsidRPr="007F6576">
        <w:rPr>
          <w:rFonts w:ascii="Open Sans" w:hAnsi="Open Sans" w:cs="Open Sans"/>
          <w:b/>
          <w:bCs/>
          <w:i w:val="0"/>
          <w:iCs w:val="0"/>
          <w:sz w:val="22"/>
          <w:szCs w:val="22"/>
        </w:rPr>
        <w:t xml:space="preserve">Table </w:t>
      </w:r>
      <w:r w:rsidRPr="007F6576">
        <w:rPr>
          <w:rFonts w:ascii="Open Sans" w:hAnsi="Open Sans" w:cs="Open Sans"/>
          <w:b/>
          <w:bCs/>
          <w:i w:val="0"/>
          <w:iCs w:val="0"/>
          <w:sz w:val="22"/>
          <w:szCs w:val="22"/>
        </w:rPr>
        <w:fldChar w:fldCharType="begin"/>
      </w:r>
      <w:r w:rsidRPr="007F6576">
        <w:rPr>
          <w:rFonts w:ascii="Open Sans" w:hAnsi="Open Sans" w:cs="Open Sans"/>
          <w:b/>
          <w:bCs/>
          <w:i w:val="0"/>
          <w:iCs w:val="0"/>
          <w:sz w:val="22"/>
          <w:szCs w:val="22"/>
        </w:rPr>
        <w:instrText xml:space="preserve"> SEQ Table \* ARABIC </w:instrText>
      </w:r>
      <w:r w:rsidRPr="007F6576">
        <w:rPr>
          <w:rFonts w:ascii="Open Sans" w:hAnsi="Open Sans" w:cs="Open Sans"/>
          <w:b/>
          <w:bCs/>
          <w:i w:val="0"/>
          <w:iCs w:val="0"/>
          <w:sz w:val="22"/>
          <w:szCs w:val="22"/>
        </w:rPr>
        <w:fldChar w:fldCharType="separate"/>
      </w:r>
      <w:r w:rsidRPr="007F6576">
        <w:rPr>
          <w:rFonts w:ascii="Open Sans" w:hAnsi="Open Sans" w:cs="Open Sans"/>
          <w:b/>
          <w:bCs/>
          <w:i w:val="0"/>
          <w:iCs w:val="0"/>
          <w:noProof/>
          <w:sz w:val="22"/>
          <w:szCs w:val="22"/>
        </w:rPr>
        <w:t>1</w:t>
      </w:r>
      <w:r w:rsidRPr="007F6576">
        <w:rPr>
          <w:rFonts w:ascii="Open Sans" w:hAnsi="Open Sans" w:cs="Open Sans"/>
          <w:b/>
          <w:bCs/>
          <w:i w:val="0"/>
          <w:iCs w:val="0"/>
          <w:sz w:val="22"/>
          <w:szCs w:val="22"/>
        </w:rPr>
        <w:fldChar w:fldCharType="end"/>
      </w:r>
      <w:r w:rsidRPr="007F6576">
        <w:rPr>
          <w:rFonts w:ascii="Open Sans" w:hAnsi="Open Sans" w:cs="Open Sans"/>
          <w:b/>
          <w:bCs/>
          <w:i w:val="0"/>
          <w:iCs w:val="0"/>
          <w:sz w:val="22"/>
          <w:szCs w:val="22"/>
        </w:rPr>
        <w:t xml:space="preserve">: </w:t>
      </w:r>
      <w:r w:rsidRPr="007F6576">
        <w:rPr>
          <w:rFonts w:ascii="Open Sans" w:hAnsi="Open Sans" w:cs="Open Sans"/>
          <w:i w:val="0"/>
          <w:iCs w:val="0"/>
          <w:sz w:val="22"/>
          <w:szCs w:val="22"/>
        </w:rPr>
        <w:t xml:space="preserve">Stressor response relationship </w:t>
      </w:r>
      <w:r>
        <w:rPr>
          <w:rFonts w:ascii="Open Sans" w:hAnsi="Open Sans" w:cs="Open Sans"/>
          <w:i w:val="0"/>
          <w:iCs w:val="0"/>
          <w:sz w:val="22"/>
          <w:szCs w:val="22"/>
        </w:rPr>
        <w:t xml:space="preserve">reflecting </w:t>
      </w:r>
      <w:r w:rsidR="009402F4">
        <w:rPr>
          <w:rFonts w:ascii="Open Sans" w:hAnsi="Open Sans" w:cs="Open Sans"/>
          <w:i w:val="0"/>
          <w:iCs w:val="0"/>
          <w:sz w:val="22"/>
          <w:szCs w:val="22"/>
        </w:rPr>
        <w:t xml:space="preserve">Dissolved Oxygen concentration </w:t>
      </w:r>
      <w:r w:rsidR="009402F4" w:rsidRPr="005949EB">
        <w:rPr>
          <w:rFonts w:ascii="Open Sans" w:hAnsi="Open Sans" w:cs="Open Sans"/>
          <w:i w:val="0"/>
          <w:iCs w:val="0"/>
          <w:sz w:val="22"/>
          <w:szCs w:val="22"/>
        </w:rPr>
        <w:t>(</w:t>
      </w:r>
      <w:r w:rsidR="009402F4">
        <w:rPr>
          <w:rFonts w:ascii="Open Sans" w:hAnsi="Open Sans" w:cs="Open Sans"/>
          <w:i w:val="0"/>
          <w:iCs w:val="0"/>
          <w:sz w:val="22"/>
          <w:szCs w:val="22"/>
        </w:rPr>
        <w:t>mg/L)</w:t>
      </w:r>
      <w:r w:rsidR="009402F4" w:rsidRPr="008B06AF">
        <w:rPr>
          <w:rFonts w:ascii="Open Sans" w:hAnsi="Open Sans" w:cs="Open Sans"/>
          <w:i w:val="0"/>
          <w:iCs w:val="0"/>
          <w:sz w:val="22"/>
          <w:szCs w:val="22"/>
        </w:rPr>
        <w:t xml:space="preserve"> </w:t>
      </w:r>
      <w:r w:rsidR="009402F4">
        <w:rPr>
          <w:rFonts w:ascii="Open Sans" w:hAnsi="Open Sans" w:cs="Open Sans"/>
          <w:i w:val="0"/>
          <w:iCs w:val="0"/>
          <w:sz w:val="22"/>
          <w:szCs w:val="22"/>
        </w:rPr>
        <w:t xml:space="preserve">and </w:t>
      </w:r>
      <w:r w:rsidRPr="008B06AF">
        <w:rPr>
          <w:rFonts w:ascii="Open Sans" w:hAnsi="Open Sans" w:cs="Open Sans"/>
          <w:i w:val="0"/>
          <w:iCs w:val="0"/>
          <w:sz w:val="22"/>
          <w:szCs w:val="22"/>
        </w:rPr>
        <w:t xml:space="preserve">the system capacity of </w:t>
      </w:r>
      <w:r>
        <w:rPr>
          <w:rFonts w:ascii="Open Sans" w:hAnsi="Open Sans" w:cs="Open Sans"/>
          <w:i w:val="0"/>
          <w:iCs w:val="0"/>
          <w:sz w:val="22"/>
          <w:szCs w:val="22"/>
        </w:rPr>
        <w:t xml:space="preserve">Nooksack Dace </w:t>
      </w:r>
      <w:r w:rsidRPr="008B06AF">
        <w:rPr>
          <w:rFonts w:ascii="Open Sans" w:hAnsi="Open Sans" w:cs="Open Sans"/>
          <w:i w:val="0"/>
          <w:iCs w:val="0"/>
          <w:sz w:val="22"/>
          <w:szCs w:val="22"/>
        </w:rPr>
        <w:t>populations</w:t>
      </w:r>
      <w:r>
        <w:rPr>
          <w:rFonts w:ascii="Open Sans" w:hAnsi="Open Sans" w:cs="Open Sans"/>
          <w:i w:val="0"/>
          <w:iCs w:val="0"/>
          <w:sz w:val="22"/>
          <w:szCs w:val="22"/>
        </w:rPr>
        <w:t>.</w:t>
      </w:r>
    </w:p>
    <w:tbl>
      <w:tblPr>
        <w:tblW w:w="8635" w:type="dxa"/>
        <w:tblLook w:val="04A0" w:firstRow="1" w:lastRow="0" w:firstColumn="1" w:lastColumn="0" w:noHBand="0" w:noVBand="1"/>
      </w:tblPr>
      <w:tblGrid>
        <w:gridCol w:w="2160"/>
        <w:gridCol w:w="2970"/>
        <w:gridCol w:w="1255"/>
        <w:gridCol w:w="990"/>
        <w:gridCol w:w="1260"/>
      </w:tblGrid>
      <w:tr w:rsidR="00FE22CD" w:rsidRPr="005949EB" w14:paraId="53459223" w14:textId="77777777" w:rsidTr="00210A53">
        <w:trPr>
          <w:trHeight w:val="600"/>
        </w:trPr>
        <w:tc>
          <w:tcPr>
            <w:tcW w:w="2160" w:type="dxa"/>
            <w:tcBorders>
              <w:top w:val="nil"/>
              <w:left w:val="nil"/>
              <w:bottom w:val="single" w:sz="4" w:space="0" w:color="auto"/>
              <w:right w:val="nil"/>
            </w:tcBorders>
            <w:shd w:val="clear" w:color="000000" w:fill="D9D9D9"/>
            <w:vAlign w:val="bottom"/>
            <w:hideMark/>
          </w:tcPr>
          <w:p w14:paraId="7ADFF80C" w14:textId="48F93552" w:rsidR="00FE22CD" w:rsidRPr="00AA1D7C" w:rsidRDefault="00AA1D7C" w:rsidP="00AA1D7C">
            <w:pPr>
              <w:jc w:val="center"/>
              <w:rPr>
                <w:rFonts w:ascii="Open Sans" w:hAnsi="Open Sans" w:cs="Open Sans"/>
                <w:b/>
                <w:bCs/>
                <w:color w:val="000000"/>
              </w:rPr>
            </w:pPr>
            <w:r w:rsidRPr="00AA1D7C">
              <w:rPr>
                <w:rFonts w:ascii="Open Sans" w:hAnsi="Open Sans" w:cs="Open Sans"/>
                <w:b/>
                <w:bCs/>
                <w:color w:val="000000"/>
              </w:rPr>
              <w:t>Percent Riffle in Reach</w:t>
            </w:r>
          </w:p>
        </w:tc>
        <w:tc>
          <w:tcPr>
            <w:tcW w:w="2970" w:type="dxa"/>
            <w:tcBorders>
              <w:top w:val="nil"/>
              <w:left w:val="nil"/>
              <w:bottom w:val="single" w:sz="4" w:space="0" w:color="auto"/>
              <w:right w:val="nil"/>
            </w:tcBorders>
            <w:shd w:val="clear" w:color="000000" w:fill="D9D9D9"/>
            <w:noWrap/>
            <w:vAlign w:val="bottom"/>
            <w:hideMark/>
          </w:tcPr>
          <w:p w14:paraId="7D3BD92B" w14:textId="6C61A260" w:rsidR="00FE22CD" w:rsidRPr="005949EB" w:rsidRDefault="00FE22CD" w:rsidP="00210A53">
            <w:pPr>
              <w:spacing w:after="0" w:line="240" w:lineRule="auto"/>
              <w:jc w:val="center"/>
              <w:rPr>
                <w:rFonts w:ascii="Open Sans" w:eastAsia="Times New Roman" w:hAnsi="Open Sans" w:cs="Open Sans"/>
                <w:b/>
                <w:bCs/>
                <w:color w:val="000000"/>
              </w:rPr>
            </w:pPr>
            <w:r w:rsidRPr="005949EB">
              <w:rPr>
                <w:rFonts w:ascii="Open Sans" w:eastAsia="Times New Roman" w:hAnsi="Open Sans" w:cs="Open Sans"/>
                <w:b/>
                <w:bCs/>
                <w:color w:val="000000"/>
              </w:rPr>
              <w:t>System Capacity (%)</w:t>
            </w:r>
          </w:p>
        </w:tc>
        <w:tc>
          <w:tcPr>
            <w:tcW w:w="1255" w:type="dxa"/>
            <w:tcBorders>
              <w:top w:val="nil"/>
              <w:left w:val="nil"/>
              <w:bottom w:val="single" w:sz="4" w:space="0" w:color="auto"/>
              <w:right w:val="nil"/>
            </w:tcBorders>
            <w:shd w:val="clear" w:color="000000" w:fill="D9D9D9"/>
            <w:vAlign w:val="bottom"/>
            <w:hideMark/>
          </w:tcPr>
          <w:p w14:paraId="7C074DB7" w14:textId="77777777" w:rsidR="00FE22CD" w:rsidRPr="005949EB" w:rsidRDefault="00FE22CD" w:rsidP="00210A53">
            <w:pPr>
              <w:spacing w:after="0" w:line="240" w:lineRule="auto"/>
              <w:jc w:val="center"/>
              <w:rPr>
                <w:rFonts w:ascii="Open Sans" w:eastAsia="Times New Roman" w:hAnsi="Open Sans" w:cs="Open Sans"/>
                <w:b/>
                <w:bCs/>
                <w:color w:val="000000"/>
              </w:rPr>
            </w:pPr>
            <w:r w:rsidRPr="005949EB">
              <w:rPr>
                <w:rFonts w:ascii="Open Sans" w:eastAsia="Times New Roman" w:hAnsi="Open Sans" w:cs="Open Sans"/>
                <w:b/>
                <w:bCs/>
                <w:color w:val="000000"/>
              </w:rPr>
              <w:t>SD</w:t>
            </w:r>
          </w:p>
        </w:tc>
        <w:tc>
          <w:tcPr>
            <w:tcW w:w="990" w:type="dxa"/>
            <w:tcBorders>
              <w:top w:val="nil"/>
              <w:left w:val="nil"/>
              <w:bottom w:val="single" w:sz="4" w:space="0" w:color="auto"/>
              <w:right w:val="nil"/>
            </w:tcBorders>
            <w:shd w:val="clear" w:color="000000" w:fill="D9D9D9"/>
            <w:vAlign w:val="bottom"/>
            <w:hideMark/>
          </w:tcPr>
          <w:p w14:paraId="3F3D5280" w14:textId="77777777" w:rsidR="00FE22CD" w:rsidRPr="005949EB" w:rsidRDefault="00FE22CD" w:rsidP="00210A53">
            <w:pPr>
              <w:spacing w:after="0" w:line="240" w:lineRule="auto"/>
              <w:jc w:val="center"/>
              <w:rPr>
                <w:rFonts w:ascii="Open Sans" w:eastAsia="Times New Roman" w:hAnsi="Open Sans" w:cs="Open Sans"/>
                <w:b/>
                <w:bCs/>
                <w:color w:val="000000"/>
              </w:rPr>
            </w:pPr>
            <w:r w:rsidRPr="005949EB">
              <w:rPr>
                <w:rFonts w:ascii="Open Sans" w:eastAsia="Times New Roman" w:hAnsi="Open Sans" w:cs="Open Sans"/>
                <w:b/>
                <w:bCs/>
                <w:color w:val="000000"/>
              </w:rPr>
              <w:t>Lower Limit</w:t>
            </w:r>
          </w:p>
        </w:tc>
        <w:tc>
          <w:tcPr>
            <w:tcW w:w="1260" w:type="dxa"/>
            <w:tcBorders>
              <w:top w:val="nil"/>
              <w:left w:val="nil"/>
              <w:bottom w:val="single" w:sz="4" w:space="0" w:color="auto"/>
              <w:right w:val="nil"/>
            </w:tcBorders>
            <w:shd w:val="clear" w:color="000000" w:fill="D9D9D9"/>
            <w:vAlign w:val="bottom"/>
            <w:hideMark/>
          </w:tcPr>
          <w:p w14:paraId="2E92DD6E" w14:textId="77777777" w:rsidR="00FE22CD" w:rsidRPr="005949EB" w:rsidRDefault="00FE22CD" w:rsidP="00210A53">
            <w:pPr>
              <w:spacing w:after="0" w:line="240" w:lineRule="auto"/>
              <w:jc w:val="center"/>
              <w:rPr>
                <w:rFonts w:ascii="Open Sans" w:eastAsia="Times New Roman" w:hAnsi="Open Sans" w:cs="Open Sans"/>
                <w:b/>
                <w:bCs/>
                <w:color w:val="000000"/>
              </w:rPr>
            </w:pPr>
            <w:r w:rsidRPr="005949EB">
              <w:rPr>
                <w:rFonts w:ascii="Open Sans" w:eastAsia="Times New Roman" w:hAnsi="Open Sans" w:cs="Open Sans"/>
                <w:b/>
                <w:bCs/>
                <w:color w:val="000000"/>
              </w:rPr>
              <w:t>Upper Limit</w:t>
            </w:r>
          </w:p>
        </w:tc>
      </w:tr>
      <w:tr w:rsidR="00B5031E" w:rsidRPr="005949EB" w14:paraId="7A744029" w14:textId="77777777" w:rsidTr="001C2AC3">
        <w:trPr>
          <w:trHeight w:val="300"/>
        </w:trPr>
        <w:tc>
          <w:tcPr>
            <w:tcW w:w="2160" w:type="dxa"/>
            <w:tcBorders>
              <w:top w:val="nil"/>
              <w:left w:val="nil"/>
              <w:bottom w:val="nil"/>
              <w:right w:val="nil"/>
            </w:tcBorders>
            <w:noWrap/>
          </w:tcPr>
          <w:p w14:paraId="2F042600" w14:textId="3017CDFC" w:rsidR="00B5031E" w:rsidRPr="005949EB" w:rsidRDefault="00B5031E" w:rsidP="00B5031E">
            <w:pPr>
              <w:spacing w:after="0" w:line="240" w:lineRule="auto"/>
              <w:jc w:val="center"/>
              <w:rPr>
                <w:rFonts w:ascii="Open Sans" w:eastAsia="Times New Roman" w:hAnsi="Open Sans" w:cs="Open Sans"/>
                <w:color w:val="000000"/>
              </w:rPr>
            </w:pPr>
            <w:r>
              <w:rPr>
                <w:rFonts w:ascii="Calibri" w:hAnsi="Calibri" w:cs="Calibri"/>
                <w:color w:val="000000"/>
                <w:lang w:val="en-US"/>
              </w:rPr>
              <w:t>0.00</w:t>
            </w:r>
          </w:p>
        </w:tc>
        <w:tc>
          <w:tcPr>
            <w:tcW w:w="2970" w:type="dxa"/>
            <w:tcBorders>
              <w:top w:val="nil"/>
              <w:left w:val="nil"/>
              <w:bottom w:val="nil"/>
              <w:right w:val="nil"/>
            </w:tcBorders>
            <w:noWrap/>
          </w:tcPr>
          <w:p w14:paraId="4D32AD4F" w14:textId="48683F0A" w:rsidR="00B5031E" w:rsidRPr="005949EB" w:rsidRDefault="00B5031E" w:rsidP="00B5031E">
            <w:pPr>
              <w:spacing w:after="0" w:line="240" w:lineRule="auto"/>
              <w:jc w:val="center"/>
              <w:rPr>
                <w:rFonts w:ascii="Open Sans" w:eastAsia="Times New Roman" w:hAnsi="Open Sans" w:cs="Open Sans"/>
                <w:color w:val="000000"/>
              </w:rPr>
            </w:pPr>
            <w:r>
              <w:rPr>
                <w:rFonts w:ascii="Calibri" w:hAnsi="Calibri" w:cs="Calibri"/>
                <w:color w:val="000000"/>
                <w:lang w:val="en-US"/>
              </w:rPr>
              <w:t>0.00</w:t>
            </w:r>
          </w:p>
        </w:tc>
        <w:tc>
          <w:tcPr>
            <w:tcW w:w="1255" w:type="dxa"/>
            <w:tcBorders>
              <w:top w:val="nil"/>
              <w:left w:val="nil"/>
              <w:bottom w:val="nil"/>
              <w:right w:val="nil"/>
            </w:tcBorders>
            <w:noWrap/>
            <w:vAlign w:val="bottom"/>
          </w:tcPr>
          <w:p w14:paraId="2C2F8B57" w14:textId="79877314" w:rsidR="00B5031E" w:rsidRPr="005949EB" w:rsidRDefault="00B5031E" w:rsidP="00B5031E">
            <w:pPr>
              <w:spacing w:after="0" w:line="240" w:lineRule="auto"/>
              <w:jc w:val="right"/>
              <w:rPr>
                <w:rFonts w:ascii="Open Sans" w:eastAsia="Times New Roman" w:hAnsi="Open Sans" w:cs="Open Sans"/>
                <w:color w:val="000000"/>
              </w:rPr>
            </w:pPr>
            <w:r>
              <w:rPr>
                <w:rFonts w:ascii="Calibri" w:hAnsi="Calibri" w:cs="Calibri"/>
                <w:color w:val="000000"/>
              </w:rPr>
              <w:t>0</w:t>
            </w:r>
          </w:p>
        </w:tc>
        <w:tc>
          <w:tcPr>
            <w:tcW w:w="990" w:type="dxa"/>
            <w:tcBorders>
              <w:top w:val="nil"/>
              <w:left w:val="nil"/>
              <w:bottom w:val="nil"/>
              <w:right w:val="nil"/>
            </w:tcBorders>
            <w:noWrap/>
            <w:vAlign w:val="bottom"/>
          </w:tcPr>
          <w:p w14:paraId="370141B4" w14:textId="073CA474" w:rsidR="00B5031E" w:rsidRPr="005949EB" w:rsidRDefault="00B5031E" w:rsidP="00B5031E">
            <w:pPr>
              <w:spacing w:after="0" w:line="240" w:lineRule="auto"/>
              <w:jc w:val="right"/>
              <w:rPr>
                <w:rFonts w:ascii="Open Sans" w:eastAsia="Times New Roman" w:hAnsi="Open Sans" w:cs="Open Sans"/>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642599A" w14:textId="39AA9D8C" w:rsidR="00B5031E" w:rsidRPr="005949EB" w:rsidRDefault="00B5031E" w:rsidP="00B5031E">
            <w:pPr>
              <w:spacing w:after="0" w:line="240" w:lineRule="auto"/>
              <w:jc w:val="right"/>
              <w:rPr>
                <w:rFonts w:ascii="Open Sans" w:eastAsia="Times New Roman" w:hAnsi="Open Sans" w:cs="Open Sans"/>
                <w:color w:val="000000"/>
              </w:rPr>
            </w:pPr>
            <w:r>
              <w:rPr>
                <w:rFonts w:ascii="Calibri" w:hAnsi="Calibri" w:cs="Calibri"/>
                <w:color w:val="000000"/>
              </w:rPr>
              <w:t>100</w:t>
            </w:r>
          </w:p>
        </w:tc>
      </w:tr>
      <w:tr w:rsidR="00B5031E" w:rsidRPr="005949EB" w14:paraId="33EBFC5B" w14:textId="77777777" w:rsidTr="001C2AC3">
        <w:trPr>
          <w:trHeight w:val="300"/>
        </w:trPr>
        <w:tc>
          <w:tcPr>
            <w:tcW w:w="2160" w:type="dxa"/>
            <w:tcBorders>
              <w:top w:val="nil"/>
              <w:left w:val="nil"/>
              <w:bottom w:val="nil"/>
              <w:right w:val="nil"/>
            </w:tcBorders>
            <w:noWrap/>
          </w:tcPr>
          <w:p w14:paraId="5E51FF45" w14:textId="64D5FDDF" w:rsidR="00B5031E" w:rsidRPr="005949EB" w:rsidRDefault="00B5031E" w:rsidP="00B5031E">
            <w:pPr>
              <w:spacing w:after="0" w:line="240" w:lineRule="auto"/>
              <w:jc w:val="center"/>
              <w:rPr>
                <w:rFonts w:ascii="Open Sans" w:eastAsia="Times New Roman" w:hAnsi="Open Sans" w:cs="Open Sans"/>
                <w:color w:val="000000"/>
              </w:rPr>
            </w:pPr>
            <w:r>
              <w:rPr>
                <w:rFonts w:ascii="Calibri" w:hAnsi="Calibri" w:cs="Calibri"/>
                <w:color w:val="000000"/>
                <w:lang w:val="en-US"/>
              </w:rPr>
              <w:t>5</w:t>
            </w:r>
          </w:p>
        </w:tc>
        <w:tc>
          <w:tcPr>
            <w:tcW w:w="2970" w:type="dxa"/>
            <w:tcBorders>
              <w:top w:val="nil"/>
              <w:left w:val="nil"/>
              <w:bottom w:val="nil"/>
              <w:right w:val="nil"/>
            </w:tcBorders>
            <w:noWrap/>
          </w:tcPr>
          <w:p w14:paraId="0ABAD256" w14:textId="4958B6E3" w:rsidR="00B5031E" w:rsidRPr="005949EB" w:rsidRDefault="00B5031E" w:rsidP="00B5031E">
            <w:pPr>
              <w:spacing w:after="0" w:line="240" w:lineRule="auto"/>
              <w:jc w:val="center"/>
              <w:rPr>
                <w:rFonts w:ascii="Open Sans" w:eastAsia="Times New Roman" w:hAnsi="Open Sans" w:cs="Open Sans"/>
                <w:color w:val="000000"/>
              </w:rPr>
            </w:pPr>
            <w:r>
              <w:rPr>
                <w:rFonts w:ascii="Calibri" w:hAnsi="Calibri" w:cs="Calibri"/>
                <w:color w:val="000000"/>
                <w:lang w:val="en-US"/>
              </w:rPr>
              <w:t>5</w:t>
            </w:r>
          </w:p>
        </w:tc>
        <w:tc>
          <w:tcPr>
            <w:tcW w:w="1255" w:type="dxa"/>
            <w:tcBorders>
              <w:top w:val="nil"/>
              <w:left w:val="nil"/>
              <w:bottom w:val="nil"/>
              <w:right w:val="nil"/>
            </w:tcBorders>
            <w:noWrap/>
            <w:vAlign w:val="bottom"/>
          </w:tcPr>
          <w:p w14:paraId="3C23DFAB" w14:textId="7186C783" w:rsidR="00B5031E" w:rsidRPr="005949EB" w:rsidRDefault="00B5031E" w:rsidP="00B5031E">
            <w:pPr>
              <w:spacing w:after="0" w:line="240" w:lineRule="auto"/>
              <w:jc w:val="right"/>
              <w:rPr>
                <w:rFonts w:ascii="Open Sans" w:eastAsia="Times New Roman" w:hAnsi="Open Sans" w:cs="Open Sans"/>
                <w:color w:val="000000"/>
              </w:rPr>
            </w:pPr>
            <w:r>
              <w:rPr>
                <w:rFonts w:ascii="Calibri" w:hAnsi="Calibri" w:cs="Calibri"/>
                <w:color w:val="000000"/>
              </w:rPr>
              <w:t>0</w:t>
            </w:r>
          </w:p>
        </w:tc>
        <w:tc>
          <w:tcPr>
            <w:tcW w:w="990" w:type="dxa"/>
            <w:tcBorders>
              <w:top w:val="nil"/>
              <w:left w:val="nil"/>
              <w:bottom w:val="nil"/>
              <w:right w:val="nil"/>
            </w:tcBorders>
            <w:noWrap/>
            <w:vAlign w:val="bottom"/>
          </w:tcPr>
          <w:p w14:paraId="47488653" w14:textId="6A587D1D" w:rsidR="00B5031E" w:rsidRPr="005949EB" w:rsidRDefault="00B5031E" w:rsidP="00B5031E">
            <w:pPr>
              <w:spacing w:after="0" w:line="240" w:lineRule="auto"/>
              <w:jc w:val="right"/>
              <w:rPr>
                <w:rFonts w:ascii="Open Sans" w:eastAsia="Times New Roman" w:hAnsi="Open Sans" w:cs="Open Sans"/>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4560AE0" w14:textId="158F17C8" w:rsidR="00B5031E" w:rsidRPr="005949EB" w:rsidRDefault="00B5031E" w:rsidP="00B5031E">
            <w:pPr>
              <w:spacing w:after="0" w:line="240" w:lineRule="auto"/>
              <w:jc w:val="right"/>
              <w:rPr>
                <w:rFonts w:ascii="Open Sans" w:eastAsia="Times New Roman" w:hAnsi="Open Sans" w:cs="Open Sans"/>
                <w:color w:val="000000"/>
              </w:rPr>
            </w:pPr>
            <w:r>
              <w:rPr>
                <w:rFonts w:ascii="Calibri" w:hAnsi="Calibri" w:cs="Calibri"/>
                <w:color w:val="000000"/>
              </w:rPr>
              <w:t>100</w:t>
            </w:r>
          </w:p>
        </w:tc>
      </w:tr>
      <w:tr w:rsidR="00B5031E" w:rsidRPr="005949EB" w14:paraId="5DBCE6DF" w14:textId="77777777" w:rsidTr="001C2AC3">
        <w:trPr>
          <w:trHeight w:val="300"/>
        </w:trPr>
        <w:tc>
          <w:tcPr>
            <w:tcW w:w="2160" w:type="dxa"/>
            <w:tcBorders>
              <w:top w:val="nil"/>
              <w:left w:val="nil"/>
              <w:bottom w:val="nil"/>
              <w:right w:val="nil"/>
            </w:tcBorders>
            <w:noWrap/>
          </w:tcPr>
          <w:p w14:paraId="1DD741E8" w14:textId="4D380F12" w:rsidR="00B5031E" w:rsidRPr="005949EB" w:rsidRDefault="00B5031E" w:rsidP="00B5031E">
            <w:pPr>
              <w:spacing w:after="0" w:line="240" w:lineRule="auto"/>
              <w:jc w:val="center"/>
              <w:rPr>
                <w:rFonts w:ascii="Segoe UI" w:eastAsia="Times New Roman" w:hAnsi="Segoe UI" w:cs="Segoe UI"/>
                <w:color w:val="000000"/>
              </w:rPr>
            </w:pPr>
            <w:r>
              <w:rPr>
                <w:rFonts w:ascii="Calibri" w:hAnsi="Calibri" w:cs="Calibri"/>
                <w:color w:val="000000"/>
                <w:lang w:val="en-US"/>
              </w:rPr>
              <w:t>10.00</w:t>
            </w:r>
          </w:p>
        </w:tc>
        <w:tc>
          <w:tcPr>
            <w:tcW w:w="2970" w:type="dxa"/>
            <w:tcBorders>
              <w:top w:val="nil"/>
              <w:left w:val="nil"/>
              <w:bottom w:val="nil"/>
              <w:right w:val="nil"/>
            </w:tcBorders>
            <w:noWrap/>
          </w:tcPr>
          <w:p w14:paraId="66083054" w14:textId="72021088" w:rsidR="00B5031E" w:rsidRPr="005949EB" w:rsidRDefault="00B5031E" w:rsidP="00B5031E">
            <w:pPr>
              <w:spacing w:after="0" w:line="240" w:lineRule="auto"/>
              <w:jc w:val="center"/>
              <w:rPr>
                <w:rFonts w:ascii="Segoe UI" w:eastAsia="Times New Roman" w:hAnsi="Segoe UI" w:cs="Segoe UI"/>
                <w:color w:val="000000"/>
              </w:rPr>
            </w:pPr>
            <w:r>
              <w:rPr>
                <w:rFonts w:ascii="Calibri" w:hAnsi="Calibri" w:cs="Calibri"/>
                <w:color w:val="000000"/>
                <w:lang w:val="en-US"/>
              </w:rPr>
              <w:t>66.00</w:t>
            </w:r>
          </w:p>
        </w:tc>
        <w:tc>
          <w:tcPr>
            <w:tcW w:w="1255" w:type="dxa"/>
            <w:tcBorders>
              <w:top w:val="nil"/>
              <w:left w:val="nil"/>
              <w:bottom w:val="nil"/>
              <w:right w:val="nil"/>
            </w:tcBorders>
            <w:noWrap/>
            <w:vAlign w:val="bottom"/>
          </w:tcPr>
          <w:p w14:paraId="6332F88E" w14:textId="1F960449" w:rsidR="00B5031E" w:rsidRPr="005949EB" w:rsidRDefault="00B5031E" w:rsidP="00B5031E">
            <w:pPr>
              <w:spacing w:after="0" w:line="240" w:lineRule="auto"/>
              <w:jc w:val="right"/>
              <w:rPr>
                <w:rFonts w:ascii="Segoe UI" w:eastAsia="Times New Roman" w:hAnsi="Segoe UI" w:cs="Segoe UI"/>
                <w:color w:val="000000"/>
              </w:rPr>
            </w:pPr>
            <w:r>
              <w:rPr>
                <w:rFonts w:ascii="Calibri" w:hAnsi="Calibri" w:cs="Calibri"/>
                <w:color w:val="000000"/>
              </w:rPr>
              <w:t>0</w:t>
            </w:r>
          </w:p>
        </w:tc>
        <w:tc>
          <w:tcPr>
            <w:tcW w:w="990" w:type="dxa"/>
            <w:tcBorders>
              <w:top w:val="nil"/>
              <w:left w:val="nil"/>
              <w:bottom w:val="nil"/>
              <w:right w:val="nil"/>
            </w:tcBorders>
            <w:noWrap/>
            <w:vAlign w:val="bottom"/>
          </w:tcPr>
          <w:p w14:paraId="35764AF6" w14:textId="01A0E1D1" w:rsidR="00B5031E" w:rsidRPr="005949EB" w:rsidRDefault="00B5031E" w:rsidP="00B5031E">
            <w:pPr>
              <w:spacing w:after="0" w:line="240" w:lineRule="auto"/>
              <w:jc w:val="right"/>
              <w:rPr>
                <w:rFonts w:ascii="Segoe UI" w:eastAsia="Times New Roman" w:hAnsi="Segoe UI" w:cs="Segoe U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16267E03" w14:textId="703A1018" w:rsidR="00B5031E" w:rsidRPr="005949EB" w:rsidRDefault="00B5031E" w:rsidP="00B5031E">
            <w:pPr>
              <w:spacing w:after="0" w:line="240" w:lineRule="auto"/>
              <w:jc w:val="right"/>
              <w:rPr>
                <w:rFonts w:ascii="Segoe UI" w:eastAsia="Times New Roman" w:hAnsi="Segoe UI" w:cs="Segoe UI"/>
                <w:color w:val="000000"/>
              </w:rPr>
            </w:pPr>
            <w:r>
              <w:rPr>
                <w:rFonts w:ascii="Calibri" w:hAnsi="Calibri" w:cs="Calibri"/>
                <w:color w:val="000000"/>
              </w:rPr>
              <w:t>100</w:t>
            </w:r>
          </w:p>
        </w:tc>
      </w:tr>
      <w:tr w:rsidR="00B5031E" w:rsidRPr="005949EB" w14:paraId="214CE148" w14:textId="77777777" w:rsidTr="001C2AC3">
        <w:trPr>
          <w:trHeight w:val="300"/>
        </w:trPr>
        <w:tc>
          <w:tcPr>
            <w:tcW w:w="2160" w:type="dxa"/>
            <w:tcBorders>
              <w:top w:val="nil"/>
              <w:left w:val="nil"/>
              <w:bottom w:val="nil"/>
              <w:right w:val="nil"/>
            </w:tcBorders>
            <w:noWrap/>
          </w:tcPr>
          <w:p w14:paraId="1F6EE4DC" w14:textId="60FFA31C" w:rsidR="00B5031E" w:rsidRPr="005949EB" w:rsidRDefault="00B5031E" w:rsidP="00B5031E">
            <w:pPr>
              <w:spacing w:after="0" w:line="240" w:lineRule="auto"/>
              <w:jc w:val="center"/>
              <w:rPr>
                <w:rFonts w:ascii="Calibri" w:hAnsi="Calibri" w:cs="Calibri"/>
                <w:color w:val="000000"/>
              </w:rPr>
            </w:pPr>
            <w:r>
              <w:rPr>
                <w:rFonts w:ascii="Calibri" w:hAnsi="Calibri" w:cs="Calibri"/>
                <w:color w:val="000000"/>
                <w:lang w:val="en-US"/>
              </w:rPr>
              <w:t>10.1</w:t>
            </w:r>
          </w:p>
        </w:tc>
        <w:tc>
          <w:tcPr>
            <w:tcW w:w="2970" w:type="dxa"/>
            <w:tcBorders>
              <w:top w:val="nil"/>
              <w:left w:val="nil"/>
              <w:bottom w:val="nil"/>
              <w:right w:val="nil"/>
            </w:tcBorders>
            <w:noWrap/>
          </w:tcPr>
          <w:p w14:paraId="7C4E7EDF" w14:textId="7DC90592" w:rsidR="00B5031E" w:rsidRPr="005949EB" w:rsidRDefault="00B5031E" w:rsidP="00B5031E">
            <w:pPr>
              <w:spacing w:after="0" w:line="240" w:lineRule="auto"/>
              <w:jc w:val="center"/>
              <w:rPr>
                <w:rFonts w:ascii="Calibri" w:hAnsi="Calibri" w:cs="Calibri"/>
                <w:color w:val="000000"/>
              </w:rPr>
            </w:pPr>
            <w:r>
              <w:rPr>
                <w:rFonts w:ascii="Calibri" w:hAnsi="Calibri" w:cs="Calibri"/>
                <w:color w:val="000000"/>
                <w:lang w:val="en-US"/>
              </w:rPr>
              <w:t>66.00</w:t>
            </w:r>
          </w:p>
        </w:tc>
        <w:tc>
          <w:tcPr>
            <w:tcW w:w="1255" w:type="dxa"/>
            <w:tcBorders>
              <w:top w:val="nil"/>
              <w:left w:val="nil"/>
              <w:bottom w:val="nil"/>
              <w:right w:val="nil"/>
            </w:tcBorders>
            <w:noWrap/>
            <w:vAlign w:val="bottom"/>
          </w:tcPr>
          <w:p w14:paraId="6A661EA1" w14:textId="35DF2D6C"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6AB1FCCC" w14:textId="642689F3"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93C170B" w14:textId="18A67360"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100</w:t>
            </w:r>
          </w:p>
        </w:tc>
      </w:tr>
      <w:tr w:rsidR="00B5031E" w:rsidRPr="005949EB" w14:paraId="4F8A159E" w14:textId="77777777" w:rsidTr="001C2AC3">
        <w:trPr>
          <w:trHeight w:val="300"/>
        </w:trPr>
        <w:tc>
          <w:tcPr>
            <w:tcW w:w="2160" w:type="dxa"/>
            <w:tcBorders>
              <w:top w:val="nil"/>
              <w:left w:val="nil"/>
              <w:bottom w:val="nil"/>
              <w:right w:val="nil"/>
            </w:tcBorders>
            <w:noWrap/>
          </w:tcPr>
          <w:p w14:paraId="561010BC" w14:textId="0A8E279F" w:rsidR="00B5031E" w:rsidRPr="005949EB" w:rsidRDefault="00B5031E" w:rsidP="00B5031E">
            <w:pPr>
              <w:spacing w:after="0" w:line="240" w:lineRule="auto"/>
              <w:jc w:val="center"/>
              <w:rPr>
                <w:rFonts w:ascii="Calibri" w:hAnsi="Calibri" w:cs="Calibri"/>
                <w:color w:val="000000"/>
              </w:rPr>
            </w:pPr>
            <w:r>
              <w:rPr>
                <w:rFonts w:ascii="Calibri" w:hAnsi="Calibri" w:cs="Calibri"/>
                <w:color w:val="000000"/>
                <w:lang w:val="en-US"/>
              </w:rPr>
              <w:t>15.00</w:t>
            </w:r>
          </w:p>
        </w:tc>
        <w:tc>
          <w:tcPr>
            <w:tcW w:w="2970" w:type="dxa"/>
            <w:tcBorders>
              <w:top w:val="nil"/>
              <w:left w:val="nil"/>
              <w:bottom w:val="nil"/>
              <w:right w:val="nil"/>
            </w:tcBorders>
            <w:noWrap/>
          </w:tcPr>
          <w:p w14:paraId="415ED35D" w14:textId="39C6B495" w:rsidR="00B5031E" w:rsidRPr="005949EB" w:rsidRDefault="00B5031E" w:rsidP="00B5031E">
            <w:pPr>
              <w:spacing w:after="0" w:line="240" w:lineRule="auto"/>
              <w:jc w:val="center"/>
              <w:rPr>
                <w:rFonts w:ascii="Calibri" w:hAnsi="Calibri" w:cs="Calibri"/>
                <w:color w:val="000000"/>
              </w:rPr>
            </w:pPr>
            <w:r>
              <w:rPr>
                <w:rFonts w:ascii="Calibri" w:hAnsi="Calibri" w:cs="Calibri"/>
                <w:color w:val="000000"/>
                <w:lang w:val="en-US"/>
              </w:rPr>
              <w:t>80.00</w:t>
            </w:r>
          </w:p>
        </w:tc>
        <w:tc>
          <w:tcPr>
            <w:tcW w:w="1255" w:type="dxa"/>
            <w:tcBorders>
              <w:top w:val="nil"/>
              <w:left w:val="nil"/>
              <w:bottom w:val="nil"/>
              <w:right w:val="nil"/>
            </w:tcBorders>
            <w:noWrap/>
            <w:vAlign w:val="bottom"/>
          </w:tcPr>
          <w:p w14:paraId="6DDF732B" w14:textId="42DEAA8F"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30523767" w14:textId="48DD0C47"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5D242AC8" w14:textId="49F97548"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100</w:t>
            </w:r>
          </w:p>
        </w:tc>
      </w:tr>
      <w:tr w:rsidR="00B5031E" w:rsidRPr="005949EB" w14:paraId="218A3AD4" w14:textId="77777777" w:rsidTr="001C2AC3">
        <w:trPr>
          <w:trHeight w:val="300"/>
        </w:trPr>
        <w:tc>
          <w:tcPr>
            <w:tcW w:w="2160" w:type="dxa"/>
            <w:tcBorders>
              <w:top w:val="nil"/>
              <w:left w:val="nil"/>
              <w:bottom w:val="nil"/>
              <w:right w:val="nil"/>
            </w:tcBorders>
            <w:noWrap/>
          </w:tcPr>
          <w:p w14:paraId="0C567B66" w14:textId="0980A070" w:rsidR="00B5031E" w:rsidRPr="005949EB" w:rsidRDefault="00B5031E" w:rsidP="00B5031E">
            <w:pPr>
              <w:spacing w:after="0" w:line="240" w:lineRule="auto"/>
              <w:jc w:val="center"/>
              <w:rPr>
                <w:rFonts w:ascii="Calibri" w:hAnsi="Calibri" w:cs="Calibri"/>
                <w:color w:val="000000"/>
              </w:rPr>
            </w:pPr>
            <w:r>
              <w:rPr>
                <w:rFonts w:ascii="Calibri" w:hAnsi="Calibri" w:cs="Calibri"/>
                <w:color w:val="000000"/>
                <w:lang w:val="en-US"/>
              </w:rPr>
              <w:t>20.00</w:t>
            </w:r>
          </w:p>
        </w:tc>
        <w:tc>
          <w:tcPr>
            <w:tcW w:w="2970" w:type="dxa"/>
            <w:tcBorders>
              <w:top w:val="nil"/>
              <w:left w:val="nil"/>
              <w:bottom w:val="nil"/>
              <w:right w:val="nil"/>
            </w:tcBorders>
            <w:noWrap/>
          </w:tcPr>
          <w:p w14:paraId="6CC8BBA3" w14:textId="1F468057" w:rsidR="00B5031E" w:rsidRPr="005949EB" w:rsidRDefault="00B5031E" w:rsidP="00B5031E">
            <w:pPr>
              <w:spacing w:after="0" w:line="240" w:lineRule="auto"/>
              <w:jc w:val="center"/>
              <w:rPr>
                <w:rFonts w:ascii="Calibri" w:hAnsi="Calibri" w:cs="Calibri"/>
                <w:color w:val="000000"/>
              </w:rPr>
            </w:pPr>
            <w:r>
              <w:rPr>
                <w:rFonts w:ascii="Calibri" w:hAnsi="Calibri" w:cs="Calibri"/>
                <w:color w:val="000000"/>
                <w:lang w:val="en-US"/>
              </w:rPr>
              <w:t>90.00</w:t>
            </w:r>
          </w:p>
        </w:tc>
        <w:tc>
          <w:tcPr>
            <w:tcW w:w="1255" w:type="dxa"/>
            <w:tcBorders>
              <w:top w:val="nil"/>
              <w:left w:val="nil"/>
              <w:bottom w:val="nil"/>
              <w:right w:val="nil"/>
            </w:tcBorders>
            <w:noWrap/>
            <w:vAlign w:val="bottom"/>
          </w:tcPr>
          <w:p w14:paraId="6BD35645" w14:textId="36A68A26"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25A19139" w14:textId="0408C60A"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24D10CC" w14:textId="6AD71597" w:rsidR="00B5031E" w:rsidRPr="005949EB" w:rsidRDefault="00B5031E" w:rsidP="00B5031E">
            <w:pPr>
              <w:spacing w:after="0" w:line="240" w:lineRule="auto"/>
              <w:jc w:val="right"/>
              <w:rPr>
                <w:rFonts w:ascii="Calibri" w:hAnsi="Calibri" w:cs="Calibri"/>
                <w:color w:val="000000"/>
              </w:rPr>
            </w:pPr>
            <w:r>
              <w:rPr>
                <w:rFonts w:ascii="Calibri" w:hAnsi="Calibri" w:cs="Calibri"/>
                <w:color w:val="000000"/>
              </w:rPr>
              <w:t>100</w:t>
            </w:r>
          </w:p>
        </w:tc>
      </w:tr>
      <w:tr w:rsidR="00B5031E" w:rsidRPr="005949EB" w14:paraId="2ECB7A8E" w14:textId="77777777" w:rsidTr="001C2AC3">
        <w:trPr>
          <w:trHeight w:val="300"/>
        </w:trPr>
        <w:tc>
          <w:tcPr>
            <w:tcW w:w="2160" w:type="dxa"/>
            <w:tcBorders>
              <w:top w:val="nil"/>
              <w:left w:val="nil"/>
              <w:bottom w:val="nil"/>
              <w:right w:val="nil"/>
            </w:tcBorders>
            <w:noWrap/>
          </w:tcPr>
          <w:p w14:paraId="6FEE0D70" w14:textId="62CD63B8" w:rsidR="00B5031E" w:rsidRDefault="00B5031E" w:rsidP="00B5031E">
            <w:pPr>
              <w:spacing w:after="0" w:line="240" w:lineRule="auto"/>
              <w:jc w:val="center"/>
              <w:rPr>
                <w:rFonts w:ascii="Calibri" w:hAnsi="Calibri" w:cs="Calibri"/>
                <w:color w:val="000000"/>
              </w:rPr>
            </w:pPr>
            <w:r>
              <w:rPr>
                <w:rFonts w:ascii="Calibri" w:hAnsi="Calibri" w:cs="Calibri"/>
                <w:color w:val="000000"/>
                <w:lang w:val="en-US"/>
              </w:rPr>
              <w:t>30.00</w:t>
            </w:r>
          </w:p>
        </w:tc>
        <w:tc>
          <w:tcPr>
            <w:tcW w:w="2970" w:type="dxa"/>
            <w:tcBorders>
              <w:top w:val="nil"/>
              <w:left w:val="nil"/>
              <w:bottom w:val="nil"/>
              <w:right w:val="nil"/>
            </w:tcBorders>
            <w:noWrap/>
          </w:tcPr>
          <w:p w14:paraId="1A86712F" w14:textId="0CA7F1B2" w:rsidR="00B5031E" w:rsidRDefault="00B5031E" w:rsidP="00B5031E">
            <w:pPr>
              <w:spacing w:after="0" w:line="240" w:lineRule="auto"/>
              <w:jc w:val="center"/>
              <w:rPr>
                <w:rFonts w:ascii="Calibri" w:hAnsi="Calibri" w:cs="Calibri"/>
                <w:color w:val="000000"/>
              </w:rPr>
            </w:pPr>
            <w:r>
              <w:rPr>
                <w:rFonts w:ascii="Calibri" w:hAnsi="Calibri" w:cs="Calibri"/>
                <w:color w:val="000000"/>
                <w:lang w:val="en-US"/>
              </w:rPr>
              <w:t>100.00</w:t>
            </w:r>
          </w:p>
        </w:tc>
        <w:tc>
          <w:tcPr>
            <w:tcW w:w="1255" w:type="dxa"/>
            <w:tcBorders>
              <w:top w:val="nil"/>
              <w:left w:val="nil"/>
              <w:bottom w:val="nil"/>
              <w:right w:val="nil"/>
            </w:tcBorders>
            <w:noWrap/>
            <w:vAlign w:val="bottom"/>
          </w:tcPr>
          <w:p w14:paraId="32B0D657" w14:textId="38EC2140" w:rsidR="00B5031E"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451B9F46" w14:textId="6AFCC2D2" w:rsidR="00B5031E"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FBA07D6" w14:textId="62D0486B" w:rsidR="00B5031E" w:rsidRDefault="00B5031E" w:rsidP="00B5031E">
            <w:pPr>
              <w:spacing w:after="0" w:line="240" w:lineRule="auto"/>
              <w:jc w:val="right"/>
              <w:rPr>
                <w:rFonts w:ascii="Calibri" w:hAnsi="Calibri" w:cs="Calibri"/>
                <w:color w:val="000000"/>
              </w:rPr>
            </w:pPr>
            <w:r>
              <w:rPr>
                <w:rFonts w:ascii="Calibri" w:hAnsi="Calibri" w:cs="Calibri"/>
                <w:color w:val="000000"/>
              </w:rPr>
              <w:t>100</w:t>
            </w:r>
          </w:p>
        </w:tc>
      </w:tr>
      <w:tr w:rsidR="00B5031E" w:rsidRPr="005949EB" w14:paraId="3F572BA9" w14:textId="77777777" w:rsidTr="001C2AC3">
        <w:trPr>
          <w:trHeight w:val="300"/>
        </w:trPr>
        <w:tc>
          <w:tcPr>
            <w:tcW w:w="2160" w:type="dxa"/>
            <w:tcBorders>
              <w:top w:val="nil"/>
              <w:left w:val="nil"/>
              <w:bottom w:val="nil"/>
              <w:right w:val="nil"/>
            </w:tcBorders>
            <w:noWrap/>
          </w:tcPr>
          <w:p w14:paraId="6278B121" w14:textId="0DCDBFB8" w:rsidR="00B5031E" w:rsidRDefault="00B5031E" w:rsidP="00B5031E">
            <w:pPr>
              <w:spacing w:after="0" w:line="240" w:lineRule="auto"/>
              <w:jc w:val="center"/>
              <w:rPr>
                <w:rFonts w:ascii="Calibri" w:hAnsi="Calibri" w:cs="Calibri"/>
                <w:color w:val="000000"/>
              </w:rPr>
            </w:pPr>
            <w:r>
              <w:rPr>
                <w:rFonts w:ascii="Calibri" w:hAnsi="Calibri" w:cs="Calibri"/>
                <w:color w:val="000000"/>
                <w:lang w:val="en-US"/>
              </w:rPr>
              <w:t>100</w:t>
            </w:r>
          </w:p>
        </w:tc>
        <w:tc>
          <w:tcPr>
            <w:tcW w:w="2970" w:type="dxa"/>
            <w:tcBorders>
              <w:top w:val="nil"/>
              <w:left w:val="nil"/>
              <w:bottom w:val="nil"/>
              <w:right w:val="nil"/>
            </w:tcBorders>
            <w:noWrap/>
          </w:tcPr>
          <w:p w14:paraId="4B302DC5" w14:textId="2EC3D673" w:rsidR="00B5031E" w:rsidRDefault="00B5031E" w:rsidP="00B5031E">
            <w:pPr>
              <w:spacing w:after="0" w:line="240" w:lineRule="auto"/>
              <w:jc w:val="center"/>
              <w:rPr>
                <w:rFonts w:ascii="Calibri" w:hAnsi="Calibri" w:cs="Calibri"/>
                <w:color w:val="000000"/>
              </w:rPr>
            </w:pPr>
            <w:r>
              <w:rPr>
                <w:rFonts w:ascii="Calibri" w:hAnsi="Calibri" w:cs="Calibri"/>
                <w:color w:val="000000"/>
                <w:lang w:val="en-US"/>
              </w:rPr>
              <w:t>100</w:t>
            </w:r>
          </w:p>
        </w:tc>
        <w:tc>
          <w:tcPr>
            <w:tcW w:w="1255" w:type="dxa"/>
            <w:tcBorders>
              <w:top w:val="nil"/>
              <w:left w:val="nil"/>
              <w:bottom w:val="nil"/>
              <w:right w:val="nil"/>
            </w:tcBorders>
            <w:noWrap/>
            <w:vAlign w:val="bottom"/>
          </w:tcPr>
          <w:p w14:paraId="1258BA95" w14:textId="55C468FE" w:rsidR="00B5031E"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70FA9BB3" w14:textId="2751A6B1" w:rsidR="00B5031E" w:rsidRDefault="00B5031E" w:rsidP="00B5031E">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59341D5C" w14:textId="753D60F7" w:rsidR="00B5031E" w:rsidRDefault="00B5031E" w:rsidP="00B5031E">
            <w:pPr>
              <w:spacing w:after="0" w:line="240" w:lineRule="auto"/>
              <w:jc w:val="right"/>
              <w:rPr>
                <w:rFonts w:ascii="Calibri" w:hAnsi="Calibri" w:cs="Calibri"/>
                <w:color w:val="000000"/>
              </w:rPr>
            </w:pPr>
            <w:r>
              <w:rPr>
                <w:rFonts w:ascii="Calibri" w:hAnsi="Calibri" w:cs="Calibri"/>
                <w:color w:val="000000"/>
              </w:rPr>
              <w:t>100</w:t>
            </w:r>
          </w:p>
        </w:tc>
      </w:tr>
    </w:tbl>
    <w:p w14:paraId="1D40A60C" w14:textId="1CF84FE2" w:rsidR="007F1850" w:rsidRPr="005949EB" w:rsidRDefault="007F1850">
      <w:pPr>
        <w:rPr>
          <w:rFonts w:ascii="Open Sans SemiBold" w:eastAsiaTheme="majorEastAsia" w:hAnsi="Open Sans SemiBold" w:cs="Open Sans SemiBold"/>
          <w:color w:val="004848"/>
          <w:sz w:val="32"/>
          <w:szCs w:val="32"/>
        </w:rPr>
      </w:pPr>
    </w:p>
    <w:p w14:paraId="21A3D5B5" w14:textId="66CB386D" w:rsidR="00546741" w:rsidRPr="005949EB" w:rsidRDefault="00546741" w:rsidP="00945E99">
      <w:pPr>
        <w:pStyle w:val="Heading1"/>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t xml:space="preserve">SR </w:t>
      </w:r>
      <w:r w:rsidR="006D6A89" w:rsidRPr="005949EB">
        <w:rPr>
          <w:rFonts w:ascii="Open Sans SemiBold" w:hAnsi="Open Sans SemiBold" w:cs="Open Sans SemiBold"/>
          <w:color w:val="004848"/>
        </w:rPr>
        <w:t>Function</w:t>
      </w:r>
      <w:r w:rsidRPr="005949EB">
        <w:rPr>
          <w:rFonts w:ascii="Open Sans SemiBold" w:hAnsi="Open Sans SemiBold" w:cs="Open Sans SemiBold"/>
          <w:color w:val="004848"/>
        </w:rPr>
        <w:t xml:space="preserve"> Confidence and Sources of Uncertainty</w:t>
      </w:r>
    </w:p>
    <w:p w14:paraId="5E276CC9" w14:textId="77777777" w:rsidR="00963AC7" w:rsidRPr="005949EB" w:rsidRDefault="00963AC7" w:rsidP="00963AC7">
      <w:pPr>
        <w:jc w:val="both"/>
        <w:rPr>
          <w:rFonts w:ascii="Open Sans" w:hAnsi="Open Sans" w:cs="Open Sans"/>
        </w:rPr>
      </w:pPr>
      <w:r>
        <w:rPr>
          <w:rFonts w:ascii="Open Sans" w:hAnsi="Open Sans" w:cs="Open Sans"/>
        </w:rPr>
        <w:t xml:space="preserve">The uncertainty assessment below is based on our evaluation of the available data and level of confidence in the derived function. </w:t>
      </w:r>
      <w:r w:rsidRPr="005949EB">
        <w:rPr>
          <w:rFonts w:ascii="Open Sans" w:hAnsi="Open Sans" w:cs="Open Sans"/>
        </w:rPr>
        <w:t xml:space="preserve">These rankings should be reassessed if additional information </w:t>
      </w:r>
      <w:r>
        <w:rPr>
          <w:rFonts w:ascii="Open Sans" w:hAnsi="Open Sans" w:cs="Open Sans"/>
        </w:rPr>
        <w:t>becomes</w:t>
      </w:r>
      <w:r w:rsidRPr="005949EB">
        <w:rPr>
          <w:rFonts w:ascii="Open Sans" w:hAnsi="Open Sans" w:cs="Open Sans"/>
        </w:rPr>
        <w:t xml:space="preserve"> available.  </w:t>
      </w:r>
    </w:p>
    <w:tbl>
      <w:tblPr>
        <w:tblStyle w:val="TableGrid1"/>
        <w:tblW w:w="9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90"/>
        <w:gridCol w:w="2340"/>
        <w:gridCol w:w="2250"/>
        <w:gridCol w:w="2340"/>
      </w:tblGrid>
      <w:tr w:rsidR="0042249B" w:rsidRPr="005949EB" w14:paraId="71AE62DE" w14:textId="77777777" w:rsidTr="00831C16">
        <w:trPr>
          <w:trHeight w:val="300"/>
        </w:trPr>
        <w:tc>
          <w:tcPr>
            <w:tcW w:w="2790" w:type="dxa"/>
          </w:tcPr>
          <w:p w14:paraId="25DBB21B" w14:textId="77777777" w:rsidR="0042249B" w:rsidRPr="005949EB" w:rsidRDefault="0042249B" w:rsidP="001B11AE">
            <w:pPr>
              <w:rPr>
                <w:rFonts w:asciiTheme="majorHAnsi" w:eastAsiaTheme="majorEastAsia" w:hAnsiTheme="majorHAnsi" w:cstheme="majorHAnsi"/>
                <w:color w:val="2F5496" w:themeColor="accent1" w:themeShade="BF"/>
                <w:kern w:val="0"/>
                <w:sz w:val="28"/>
                <w:szCs w:val="28"/>
                <w14:ligatures w14:val="none"/>
              </w:rPr>
            </w:pPr>
          </w:p>
        </w:tc>
        <w:tc>
          <w:tcPr>
            <w:tcW w:w="2340" w:type="dxa"/>
            <w:shd w:val="clear" w:color="auto" w:fill="FFBDBD"/>
          </w:tcPr>
          <w:p w14:paraId="29A04277" w14:textId="77777777" w:rsidR="0042249B" w:rsidRPr="005949EB" w:rsidRDefault="0042249B" w:rsidP="00B524E1">
            <w:pPr>
              <w:jc w:val="center"/>
              <w:rPr>
                <w:rFonts w:ascii="Open Sans" w:hAnsi="Open Sans" w:cs="Open Sans"/>
                <w:b/>
                <w:bCs/>
                <w:color w:val="2F5496" w:themeColor="accent1" w:themeShade="BF"/>
                <w:sz w:val="28"/>
                <w:szCs w:val="28"/>
              </w:rPr>
            </w:pPr>
            <w:r w:rsidRPr="005949EB">
              <w:rPr>
                <w:rFonts w:ascii="Open Sans" w:hAnsi="Open Sans" w:cs="Open Sans"/>
                <w:b/>
                <w:bCs/>
                <w:color w:val="2F5496" w:themeColor="accent1" w:themeShade="BF"/>
                <w:sz w:val="28"/>
                <w:szCs w:val="28"/>
              </w:rPr>
              <w:t>Low Confidence</w:t>
            </w:r>
          </w:p>
        </w:tc>
        <w:tc>
          <w:tcPr>
            <w:tcW w:w="2250" w:type="dxa"/>
            <w:shd w:val="clear" w:color="auto" w:fill="FFE599" w:themeFill="accent4" w:themeFillTint="66"/>
          </w:tcPr>
          <w:p w14:paraId="0422954B" w14:textId="77777777" w:rsidR="0042249B" w:rsidRPr="005949EB" w:rsidRDefault="0042249B" w:rsidP="00B524E1">
            <w:pPr>
              <w:jc w:val="center"/>
              <w:rPr>
                <w:rFonts w:ascii="Open Sans" w:hAnsi="Open Sans" w:cs="Open Sans"/>
                <w:b/>
                <w:bCs/>
                <w:color w:val="2F5496" w:themeColor="accent1" w:themeShade="BF"/>
                <w:sz w:val="28"/>
                <w:szCs w:val="28"/>
              </w:rPr>
            </w:pPr>
            <w:r w:rsidRPr="005949EB">
              <w:rPr>
                <w:rFonts w:ascii="Open Sans" w:hAnsi="Open Sans" w:cs="Open Sans"/>
                <w:b/>
                <w:bCs/>
                <w:color w:val="2F5496" w:themeColor="accent1" w:themeShade="BF"/>
                <w:sz w:val="28"/>
                <w:szCs w:val="28"/>
              </w:rPr>
              <w:t>Moderate Confidence</w:t>
            </w:r>
          </w:p>
        </w:tc>
        <w:tc>
          <w:tcPr>
            <w:tcW w:w="2340" w:type="dxa"/>
            <w:shd w:val="clear" w:color="auto" w:fill="C5E0B3" w:themeFill="accent6" w:themeFillTint="66"/>
          </w:tcPr>
          <w:p w14:paraId="3DC60B5A" w14:textId="77777777" w:rsidR="0042249B" w:rsidRPr="005949EB" w:rsidRDefault="0042249B" w:rsidP="00B524E1">
            <w:pPr>
              <w:jc w:val="center"/>
              <w:rPr>
                <w:rFonts w:ascii="Open Sans" w:hAnsi="Open Sans" w:cs="Open Sans"/>
                <w:b/>
                <w:bCs/>
                <w:color w:val="2F5496" w:themeColor="accent1" w:themeShade="BF"/>
                <w:sz w:val="28"/>
                <w:szCs w:val="28"/>
              </w:rPr>
            </w:pPr>
            <w:r w:rsidRPr="005949EB">
              <w:rPr>
                <w:rFonts w:ascii="Open Sans" w:hAnsi="Open Sans" w:cs="Open Sans"/>
                <w:b/>
                <w:bCs/>
                <w:color w:val="2F5496" w:themeColor="accent1" w:themeShade="BF"/>
                <w:sz w:val="28"/>
                <w:szCs w:val="28"/>
              </w:rPr>
              <w:t>High Confidence</w:t>
            </w:r>
          </w:p>
        </w:tc>
      </w:tr>
      <w:tr w:rsidR="0042249B" w:rsidRPr="005949EB" w14:paraId="7774E253" w14:textId="77777777" w:rsidTr="00831C16">
        <w:trPr>
          <w:trHeight w:val="300"/>
        </w:trPr>
        <w:tc>
          <w:tcPr>
            <w:tcW w:w="2790" w:type="dxa"/>
          </w:tcPr>
          <w:p w14:paraId="78087AFA" w14:textId="0975B1C0" w:rsidR="0042249B" w:rsidRPr="005949EB" w:rsidRDefault="0042249B" w:rsidP="001B11AE">
            <w:pPr>
              <w:spacing w:line="259" w:lineRule="auto"/>
              <w:rPr>
                <w:rFonts w:ascii="Open Sans" w:eastAsiaTheme="majorEastAsia" w:hAnsi="Open Sans" w:cs="Open Sans"/>
                <w:b/>
                <w:bCs/>
                <w:color w:val="2F5496" w:themeColor="accent1" w:themeShade="BF"/>
                <w:sz w:val="28"/>
                <w:szCs w:val="28"/>
              </w:rPr>
            </w:pPr>
            <w:r w:rsidRPr="005949EB">
              <w:rPr>
                <w:rFonts w:ascii="Open Sans" w:eastAsiaTheme="majorEastAsia" w:hAnsi="Open Sans" w:cs="Open Sans"/>
                <w:b/>
                <w:bCs/>
                <w:color w:val="2F5496" w:themeColor="accent1" w:themeShade="BF"/>
                <w:sz w:val="28"/>
                <w:szCs w:val="28"/>
              </w:rPr>
              <w:t>Data Source for SR Function</w:t>
            </w:r>
          </w:p>
        </w:tc>
        <w:tc>
          <w:tcPr>
            <w:tcW w:w="2340" w:type="dxa"/>
            <w:shd w:val="clear" w:color="auto" w:fill="FFBDBD"/>
          </w:tcPr>
          <w:p w14:paraId="47E75894" w14:textId="0FB862E3" w:rsidR="0042249B" w:rsidRPr="005949EB" w:rsidRDefault="0042249B" w:rsidP="00B606BE">
            <w:pPr>
              <w:spacing w:line="259" w:lineRule="auto"/>
              <w:jc w:val="center"/>
              <w:rPr>
                <w:rFonts w:ascii="Open Sans" w:eastAsiaTheme="minorEastAsia" w:hAnsi="Open Sans" w:cs="Open Sans"/>
                <w:sz w:val="20"/>
                <w:szCs w:val="20"/>
              </w:rPr>
            </w:pPr>
          </w:p>
        </w:tc>
        <w:tc>
          <w:tcPr>
            <w:tcW w:w="2250" w:type="dxa"/>
            <w:shd w:val="clear" w:color="auto" w:fill="FFE599" w:themeFill="accent4" w:themeFillTint="66"/>
          </w:tcPr>
          <w:p w14:paraId="7A31D2EF" w14:textId="6FAAE8E8" w:rsidR="0042249B" w:rsidRPr="005949EB" w:rsidRDefault="0042249B" w:rsidP="00B606BE">
            <w:pPr>
              <w:jc w:val="center"/>
              <w:rPr>
                <w:rFonts w:ascii="Open Sans" w:eastAsiaTheme="minorEastAsia" w:hAnsi="Open Sans" w:cs="Open Sans"/>
                <w:kern w:val="0"/>
                <w:sz w:val="20"/>
                <w:szCs w:val="20"/>
                <w14:ligatures w14:val="none"/>
              </w:rPr>
            </w:pPr>
          </w:p>
        </w:tc>
        <w:tc>
          <w:tcPr>
            <w:tcW w:w="2340" w:type="dxa"/>
            <w:shd w:val="clear" w:color="auto" w:fill="C5E0B3" w:themeFill="accent6" w:themeFillTint="66"/>
          </w:tcPr>
          <w:p w14:paraId="38F3AE5C" w14:textId="0AB5F901" w:rsidR="0042249B" w:rsidRPr="005949EB" w:rsidRDefault="00692A3E" w:rsidP="00B606BE">
            <w:pPr>
              <w:spacing w:line="259" w:lineRule="auto"/>
              <w:jc w:val="center"/>
              <w:rPr>
                <w:rFonts w:ascii="Open Sans" w:eastAsiaTheme="minorEastAsia" w:hAnsi="Open Sans" w:cs="Open Sans"/>
                <w:sz w:val="56"/>
                <w:szCs w:val="56"/>
              </w:rPr>
            </w:pPr>
            <w:r w:rsidRPr="005949EB">
              <w:rPr>
                <w:rFonts w:ascii="Open Sans" w:eastAsiaTheme="minorEastAsia" w:hAnsi="Open Sans" w:cs="Open Sans"/>
                <w:b/>
                <w:bCs/>
                <w:sz w:val="56"/>
                <w:szCs w:val="56"/>
              </w:rPr>
              <w:t>X</w:t>
            </w:r>
          </w:p>
        </w:tc>
      </w:tr>
      <w:tr w:rsidR="00C64402" w:rsidRPr="005949EB" w14:paraId="3A7F9A51" w14:textId="77777777" w:rsidTr="00831C16">
        <w:trPr>
          <w:trHeight w:val="300"/>
        </w:trPr>
        <w:tc>
          <w:tcPr>
            <w:tcW w:w="2790" w:type="dxa"/>
          </w:tcPr>
          <w:p w14:paraId="5A1B815D" w14:textId="77777777" w:rsidR="00C64402" w:rsidRPr="005949EB" w:rsidRDefault="00C64402" w:rsidP="001B11AE">
            <w:pPr>
              <w:spacing w:line="259" w:lineRule="auto"/>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Rationale --&gt;</w:t>
            </w:r>
          </w:p>
        </w:tc>
        <w:tc>
          <w:tcPr>
            <w:tcW w:w="6930" w:type="dxa"/>
            <w:gridSpan w:val="3"/>
          </w:tcPr>
          <w:p w14:paraId="6C3EA652" w14:textId="3A6E5AA8" w:rsidR="00C64402" w:rsidRPr="007E223E" w:rsidRDefault="004D6B5A" w:rsidP="001A1DEF">
            <w:pPr>
              <w:rPr>
                <w:rFonts w:ascii="Open Sans" w:hAnsi="Open Sans" w:cs="Open Sans"/>
                <w:sz w:val="20"/>
                <w:szCs w:val="20"/>
              </w:rPr>
            </w:pPr>
            <w:r w:rsidRPr="007E223E">
              <w:rPr>
                <w:rFonts w:ascii="Open Sans" w:hAnsi="Open Sans" w:cs="Open Sans"/>
                <w:sz w:val="20"/>
                <w:szCs w:val="20"/>
              </w:rPr>
              <w:t xml:space="preserve"> </w:t>
            </w:r>
            <w:r w:rsidR="007E223E" w:rsidRPr="007E223E">
              <w:rPr>
                <w:rFonts w:ascii="Open Sans" w:hAnsi="Open Sans" w:cs="Open Sans"/>
                <w:sz w:val="20"/>
                <w:szCs w:val="20"/>
              </w:rPr>
              <w:t xml:space="preserve">This function is based on </w:t>
            </w:r>
            <w:r w:rsidR="00692A3E">
              <w:rPr>
                <w:rFonts w:ascii="Open Sans" w:hAnsi="Open Sans" w:cs="Open Sans"/>
                <w:sz w:val="20"/>
                <w:szCs w:val="20"/>
              </w:rPr>
              <w:t>data for Nooksack Dace from target system.</w:t>
            </w:r>
            <w:r w:rsidR="00717B17">
              <w:rPr>
                <w:rStyle w:val="Heading2Char"/>
                <w:rFonts w:ascii="Open Sans" w:hAnsi="Open Sans" w:cs="Open Sans"/>
                <w:color w:val="auto"/>
                <w:sz w:val="20"/>
                <w:szCs w:val="20"/>
                <w:u w:val="none"/>
              </w:rPr>
              <w:t xml:space="preserve"> </w:t>
            </w:r>
          </w:p>
        </w:tc>
      </w:tr>
      <w:tr w:rsidR="0042249B" w:rsidRPr="005949EB" w14:paraId="650D0AA6" w14:textId="77777777" w:rsidTr="00831C16">
        <w:trPr>
          <w:trHeight w:val="300"/>
        </w:trPr>
        <w:tc>
          <w:tcPr>
            <w:tcW w:w="2790" w:type="dxa"/>
          </w:tcPr>
          <w:p w14:paraId="4C4FD916" w14:textId="77777777" w:rsidR="0042249B" w:rsidRPr="005949EB" w:rsidRDefault="0042249B" w:rsidP="001B11AE">
            <w:pPr>
              <w:rPr>
                <w:rFonts w:ascii="Open Sans" w:eastAsiaTheme="majorEastAsia" w:hAnsi="Open Sans" w:cs="Open Sans"/>
                <w:b/>
                <w:bCs/>
                <w:color w:val="2F5496" w:themeColor="accent1" w:themeShade="BF"/>
                <w:kern w:val="0"/>
                <w:sz w:val="28"/>
                <w:szCs w:val="28"/>
                <w14:ligatures w14:val="none"/>
              </w:rPr>
            </w:pPr>
            <w:r w:rsidRPr="005949EB">
              <w:rPr>
                <w:rFonts w:ascii="Open Sans" w:eastAsiaTheme="majorEastAsia" w:hAnsi="Open Sans" w:cs="Open Sans"/>
                <w:b/>
                <w:bCs/>
                <w:color w:val="2F5496" w:themeColor="accent1" w:themeShade="BF"/>
                <w:kern w:val="0"/>
                <w:sz w:val="28"/>
                <w:szCs w:val="28"/>
                <w14:ligatures w14:val="none"/>
              </w:rPr>
              <w:t>Shape of SR Function</w:t>
            </w:r>
          </w:p>
        </w:tc>
        <w:tc>
          <w:tcPr>
            <w:tcW w:w="2340" w:type="dxa"/>
            <w:shd w:val="clear" w:color="auto" w:fill="FFBDBD"/>
          </w:tcPr>
          <w:p w14:paraId="1A8E2DA1" w14:textId="55DC9659" w:rsidR="0042249B" w:rsidRPr="005949EB" w:rsidRDefault="0042249B" w:rsidP="00B606BE">
            <w:pPr>
              <w:jc w:val="center"/>
              <w:rPr>
                <w:rFonts w:ascii="Open Sans" w:eastAsiaTheme="minorEastAsia" w:hAnsi="Open Sans" w:cs="Open Sans"/>
                <w:kern w:val="0"/>
                <w:sz w:val="20"/>
                <w:szCs w:val="20"/>
                <w14:ligatures w14:val="none"/>
              </w:rPr>
            </w:pPr>
          </w:p>
        </w:tc>
        <w:tc>
          <w:tcPr>
            <w:tcW w:w="2250" w:type="dxa"/>
            <w:shd w:val="clear" w:color="auto" w:fill="FFE599" w:themeFill="accent4" w:themeFillTint="66"/>
          </w:tcPr>
          <w:p w14:paraId="5B794BE8" w14:textId="2697E247" w:rsidR="0042249B" w:rsidRPr="005949EB" w:rsidRDefault="0042249B" w:rsidP="00B606BE">
            <w:pPr>
              <w:spacing w:line="259" w:lineRule="auto"/>
              <w:jc w:val="center"/>
              <w:rPr>
                <w:rFonts w:ascii="Open Sans" w:eastAsiaTheme="minorEastAsia" w:hAnsi="Open Sans" w:cs="Open Sans"/>
                <w:sz w:val="20"/>
                <w:szCs w:val="20"/>
              </w:rPr>
            </w:pPr>
          </w:p>
        </w:tc>
        <w:tc>
          <w:tcPr>
            <w:tcW w:w="2340" w:type="dxa"/>
            <w:shd w:val="clear" w:color="auto" w:fill="C5E0B3" w:themeFill="accent6" w:themeFillTint="66"/>
          </w:tcPr>
          <w:p w14:paraId="5761FBFD" w14:textId="33BB88E1" w:rsidR="0042249B" w:rsidRPr="005949EB" w:rsidRDefault="00E14E71" w:rsidP="00B606BE">
            <w:pPr>
              <w:jc w:val="center"/>
              <w:rPr>
                <w:rFonts w:ascii="Open Sans" w:eastAsiaTheme="minorEastAsia" w:hAnsi="Open Sans" w:cs="Open Sans"/>
                <w:kern w:val="0"/>
                <w:sz w:val="20"/>
                <w:szCs w:val="20"/>
                <w14:ligatures w14:val="none"/>
              </w:rPr>
            </w:pPr>
            <w:r w:rsidRPr="005949EB">
              <w:rPr>
                <w:rFonts w:ascii="Open Sans" w:eastAsiaTheme="minorEastAsia" w:hAnsi="Open Sans" w:cs="Open Sans"/>
                <w:b/>
                <w:bCs/>
                <w:sz w:val="56"/>
                <w:szCs w:val="56"/>
              </w:rPr>
              <w:t>X</w:t>
            </w:r>
          </w:p>
        </w:tc>
      </w:tr>
      <w:tr w:rsidR="00C64402" w:rsidRPr="005949EB" w14:paraId="1D6BEA09" w14:textId="77777777" w:rsidTr="00831C16">
        <w:trPr>
          <w:trHeight w:val="300"/>
        </w:trPr>
        <w:tc>
          <w:tcPr>
            <w:tcW w:w="2790" w:type="dxa"/>
          </w:tcPr>
          <w:p w14:paraId="405E782B" w14:textId="77777777" w:rsidR="00C64402" w:rsidRPr="005949EB" w:rsidRDefault="00C64402" w:rsidP="001B11AE">
            <w:pPr>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 xml:space="preserve"> Rationale --&gt;</w:t>
            </w:r>
          </w:p>
        </w:tc>
        <w:tc>
          <w:tcPr>
            <w:tcW w:w="6930" w:type="dxa"/>
            <w:gridSpan w:val="3"/>
          </w:tcPr>
          <w:p w14:paraId="0334D8C0" w14:textId="10C1A579" w:rsidR="00C64402" w:rsidRPr="007E223E" w:rsidRDefault="00717B17" w:rsidP="00112E2A">
            <w:pPr>
              <w:rPr>
                <w:rFonts w:ascii="Open Sans" w:hAnsi="Open Sans" w:cs="Open Sans"/>
                <w:sz w:val="20"/>
                <w:szCs w:val="20"/>
              </w:rPr>
            </w:pPr>
            <w:r>
              <w:rPr>
                <w:rStyle w:val="Heading2Char"/>
                <w:rFonts w:ascii="Open Sans" w:hAnsi="Open Sans" w:cs="Open Sans"/>
                <w:color w:val="auto"/>
                <w:sz w:val="20"/>
                <w:szCs w:val="20"/>
                <w:u w:val="none"/>
              </w:rPr>
              <w:t xml:space="preserve">The </w:t>
            </w:r>
            <w:r w:rsidR="00E14E71">
              <w:rPr>
                <w:rStyle w:val="Heading2Char"/>
                <w:rFonts w:ascii="Open Sans" w:hAnsi="Open Sans" w:cs="Open Sans"/>
                <w:color w:val="auto"/>
                <w:sz w:val="20"/>
                <w:szCs w:val="20"/>
                <w:u w:val="none"/>
              </w:rPr>
              <w:t>relationship has been established for the target species and system based on empirical data</w:t>
            </w:r>
            <w:r w:rsidR="006E465E">
              <w:rPr>
                <w:rStyle w:val="Heading2Char"/>
                <w:rFonts w:ascii="Open Sans" w:hAnsi="Open Sans" w:cs="Open Sans"/>
                <w:color w:val="auto"/>
                <w:sz w:val="20"/>
                <w:szCs w:val="20"/>
                <w:u w:val="none"/>
              </w:rPr>
              <w:t xml:space="preserve">. </w:t>
            </w:r>
          </w:p>
        </w:tc>
      </w:tr>
      <w:tr w:rsidR="0042249B" w:rsidRPr="005949EB" w14:paraId="676B3FBF" w14:textId="77777777" w:rsidTr="00831C16">
        <w:trPr>
          <w:trHeight w:val="300"/>
        </w:trPr>
        <w:tc>
          <w:tcPr>
            <w:tcW w:w="2790" w:type="dxa"/>
          </w:tcPr>
          <w:p w14:paraId="4FFE1C29" w14:textId="77777777" w:rsidR="0042249B" w:rsidRPr="005949EB" w:rsidRDefault="0042249B" w:rsidP="001B11AE">
            <w:pPr>
              <w:rPr>
                <w:rFonts w:ascii="Open Sans" w:eastAsiaTheme="majorEastAsia" w:hAnsi="Open Sans" w:cs="Open Sans"/>
                <w:b/>
                <w:bCs/>
                <w:color w:val="2F5496" w:themeColor="accent1" w:themeShade="BF"/>
                <w:kern w:val="0"/>
                <w:sz w:val="28"/>
                <w:szCs w:val="28"/>
                <w14:ligatures w14:val="none"/>
              </w:rPr>
            </w:pPr>
            <w:r w:rsidRPr="005949EB">
              <w:rPr>
                <w:rFonts w:ascii="Open Sans" w:eastAsiaTheme="majorEastAsia" w:hAnsi="Open Sans" w:cs="Open Sans"/>
                <w:b/>
                <w:bCs/>
                <w:color w:val="2F5496" w:themeColor="accent1" w:themeShade="BF"/>
                <w:kern w:val="0"/>
                <w:sz w:val="28"/>
                <w:szCs w:val="28"/>
                <w14:ligatures w14:val="none"/>
              </w:rPr>
              <w:t>Data Variance/</w:t>
            </w:r>
          </w:p>
          <w:p w14:paraId="628B26E9" w14:textId="77777777" w:rsidR="0042249B" w:rsidRPr="005949EB" w:rsidRDefault="0042249B" w:rsidP="001B11AE">
            <w:pPr>
              <w:spacing w:line="259" w:lineRule="auto"/>
              <w:rPr>
                <w:rFonts w:ascii="Open Sans" w:eastAsiaTheme="majorEastAsia" w:hAnsi="Open Sans" w:cs="Open Sans"/>
                <w:b/>
                <w:bCs/>
                <w:color w:val="2F5496" w:themeColor="accent1" w:themeShade="BF"/>
                <w:sz w:val="28"/>
                <w:szCs w:val="28"/>
              </w:rPr>
            </w:pPr>
            <w:r w:rsidRPr="005949EB">
              <w:rPr>
                <w:rFonts w:ascii="Open Sans" w:eastAsiaTheme="majorEastAsia" w:hAnsi="Open Sans" w:cs="Open Sans"/>
                <w:b/>
                <w:bCs/>
                <w:color w:val="2F5496" w:themeColor="accent1" w:themeShade="BF"/>
                <w:kern w:val="0"/>
                <w:sz w:val="28"/>
                <w:szCs w:val="28"/>
                <w14:ligatures w14:val="none"/>
              </w:rPr>
              <w:t>Consistency</w:t>
            </w:r>
          </w:p>
        </w:tc>
        <w:tc>
          <w:tcPr>
            <w:tcW w:w="2340" w:type="dxa"/>
            <w:shd w:val="clear" w:color="auto" w:fill="FFBDBD"/>
          </w:tcPr>
          <w:p w14:paraId="5D07F6EE" w14:textId="5ECD0624" w:rsidR="0042249B" w:rsidRPr="005949EB" w:rsidRDefault="0042249B" w:rsidP="00B606BE">
            <w:pPr>
              <w:spacing w:line="259" w:lineRule="auto"/>
              <w:jc w:val="center"/>
              <w:rPr>
                <w:rFonts w:ascii="Open Sans" w:eastAsiaTheme="minorEastAsia" w:hAnsi="Open Sans" w:cs="Open Sans"/>
                <w:kern w:val="0"/>
                <w:sz w:val="20"/>
                <w:szCs w:val="20"/>
                <w14:ligatures w14:val="none"/>
              </w:rPr>
            </w:pPr>
          </w:p>
        </w:tc>
        <w:tc>
          <w:tcPr>
            <w:tcW w:w="2250" w:type="dxa"/>
            <w:shd w:val="clear" w:color="auto" w:fill="FFE599" w:themeFill="accent4" w:themeFillTint="66"/>
          </w:tcPr>
          <w:p w14:paraId="26FD40D3" w14:textId="32D97DD1" w:rsidR="0042249B" w:rsidRPr="005949EB" w:rsidRDefault="00E02533" w:rsidP="00B606BE">
            <w:pPr>
              <w:spacing w:line="259" w:lineRule="auto"/>
              <w:jc w:val="center"/>
              <w:rPr>
                <w:rFonts w:ascii="Open Sans" w:eastAsiaTheme="minorEastAsia" w:hAnsi="Open Sans" w:cs="Open Sans"/>
                <w:sz w:val="20"/>
                <w:szCs w:val="20"/>
              </w:rPr>
            </w:pPr>
            <w:r w:rsidRPr="005949EB">
              <w:rPr>
                <w:rFonts w:ascii="Open Sans" w:eastAsiaTheme="minorEastAsia" w:hAnsi="Open Sans" w:cs="Open Sans"/>
                <w:b/>
                <w:bCs/>
                <w:sz w:val="56"/>
                <w:szCs w:val="56"/>
              </w:rPr>
              <w:t>X</w:t>
            </w:r>
          </w:p>
        </w:tc>
        <w:tc>
          <w:tcPr>
            <w:tcW w:w="2340" w:type="dxa"/>
            <w:shd w:val="clear" w:color="auto" w:fill="C5E0B3" w:themeFill="accent6" w:themeFillTint="66"/>
          </w:tcPr>
          <w:p w14:paraId="5CACACBA" w14:textId="6BB80E84" w:rsidR="0042249B" w:rsidRPr="005949EB" w:rsidRDefault="0042249B" w:rsidP="00B606BE">
            <w:pPr>
              <w:spacing w:line="259" w:lineRule="auto"/>
              <w:jc w:val="center"/>
              <w:rPr>
                <w:rFonts w:ascii="Open Sans" w:eastAsiaTheme="minorEastAsia" w:hAnsi="Open Sans" w:cs="Open Sans"/>
                <w:sz w:val="20"/>
                <w:szCs w:val="20"/>
              </w:rPr>
            </w:pPr>
          </w:p>
        </w:tc>
      </w:tr>
      <w:tr w:rsidR="005B1A18" w:rsidRPr="005949EB" w14:paraId="55AD8AA2" w14:textId="77777777" w:rsidTr="00831C16">
        <w:trPr>
          <w:trHeight w:val="300"/>
        </w:trPr>
        <w:tc>
          <w:tcPr>
            <w:tcW w:w="2790" w:type="dxa"/>
          </w:tcPr>
          <w:p w14:paraId="18797CF9" w14:textId="77777777" w:rsidR="005B1A18" w:rsidRPr="005949EB" w:rsidRDefault="005B1A18" w:rsidP="005B1A18">
            <w:pPr>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 xml:space="preserve"> Rationale --&gt;</w:t>
            </w:r>
          </w:p>
        </w:tc>
        <w:tc>
          <w:tcPr>
            <w:tcW w:w="6930" w:type="dxa"/>
            <w:gridSpan w:val="3"/>
          </w:tcPr>
          <w:p w14:paraId="07BC163B" w14:textId="7A71718F" w:rsidR="005B1A18" w:rsidRPr="005949EB" w:rsidRDefault="005B1A18" w:rsidP="005B1A18">
            <w:pPr>
              <w:rPr>
                <w:rFonts w:ascii="Open Sans" w:hAnsi="Open Sans" w:cs="Open Sans"/>
                <w:sz w:val="20"/>
                <w:szCs w:val="20"/>
              </w:rPr>
            </w:pPr>
            <w:r w:rsidRPr="001E0680">
              <w:rPr>
                <w:rFonts w:ascii="Open Sans" w:hAnsi="Open Sans" w:cs="Open Sans"/>
                <w:sz w:val="20"/>
                <w:szCs w:val="20"/>
              </w:rPr>
              <w:t>Variance around this function is unknown</w:t>
            </w:r>
            <w:r w:rsidR="00E02533">
              <w:rPr>
                <w:rFonts w:ascii="Open Sans" w:hAnsi="Open Sans" w:cs="Open Sans"/>
                <w:sz w:val="20"/>
                <w:szCs w:val="20"/>
              </w:rPr>
              <w:t>, but the patterns appears fairly consistent for both Nooksack dace and Longnose dace</w:t>
            </w:r>
            <w:r w:rsidRPr="001E0680">
              <w:rPr>
                <w:rFonts w:ascii="Open Sans" w:hAnsi="Open Sans" w:cs="Open Sans"/>
                <w:sz w:val="20"/>
                <w:szCs w:val="20"/>
              </w:rPr>
              <w:t xml:space="preserve">. </w:t>
            </w:r>
          </w:p>
        </w:tc>
      </w:tr>
      <w:tr w:rsidR="0042249B" w:rsidRPr="005949EB" w14:paraId="64ECFA8D" w14:textId="77777777" w:rsidTr="00831C16">
        <w:trPr>
          <w:trHeight w:val="300"/>
        </w:trPr>
        <w:tc>
          <w:tcPr>
            <w:tcW w:w="2790" w:type="dxa"/>
          </w:tcPr>
          <w:p w14:paraId="7DAC4157" w14:textId="77777777" w:rsidR="0042249B" w:rsidRPr="005949EB" w:rsidRDefault="0042249B" w:rsidP="001B11AE">
            <w:pPr>
              <w:rPr>
                <w:rFonts w:ascii="Open Sans" w:eastAsiaTheme="majorEastAsia" w:hAnsi="Open Sans" w:cs="Open Sans"/>
                <w:b/>
                <w:bCs/>
                <w:color w:val="2F5496" w:themeColor="accent1" w:themeShade="BF"/>
                <w:kern w:val="0"/>
                <w:sz w:val="28"/>
                <w:szCs w:val="28"/>
                <w14:ligatures w14:val="none"/>
              </w:rPr>
            </w:pPr>
            <w:r w:rsidRPr="005949EB">
              <w:rPr>
                <w:rFonts w:ascii="Open Sans" w:eastAsiaTheme="majorEastAsia" w:hAnsi="Open Sans" w:cs="Open Sans"/>
                <w:b/>
                <w:bCs/>
                <w:color w:val="2F5496" w:themeColor="accent1" w:themeShade="BF"/>
                <w:kern w:val="0"/>
                <w:sz w:val="28"/>
                <w:szCs w:val="28"/>
                <w14:ligatures w14:val="none"/>
              </w:rPr>
              <w:t>Applicability to System</w:t>
            </w:r>
          </w:p>
        </w:tc>
        <w:tc>
          <w:tcPr>
            <w:tcW w:w="2340" w:type="dxa"/>
            <w:shd w:val="clear" w:color="auto" w:fill="FFBDBD"/>
          </w:tcPr>
          <w:p w14:paraId="256D24D1" w14:textId="68F2351E" w:rsidR="0042249B" w:rsidRPr="005949EB" w:rsidRDefault="0042249B" w:rsidP="00B606BE">
            <w:pPr>
              <w:spacing w:line="259" w:lineRule="auto"/>
              <w:jc w:val="center"/>
              <w:rPr>
                <w:rFonts w:ascii="Open Sans" w:eastAsiaTheme="minorEastAsia" w:hAnsi="Open Sans" w:cs="Open Sans"/>
                <w:sz w:val="20"/>
                <w:szCs w:val="20"/>
              </w:rPr>
            </w:pPr>
          </w:p>
        </w:tc>
        <w:tc>
          <w:tcPr>
            <w:tcW w:w="2250" w:type="dxa"/>
            <w:shd w:val="clear" w:color="auto" w:fill="FFE599" w:themeFill="accent4" w:themeFillTint="66"/>
          </w:tcPr>
          <w:p w14:paraId="672A2D68" w14:textId="72BA240E" w:rsidR="0042249B" w:rsidRPr="005949EB" w:rsidRDefault="0042249B" w:rsidP="00B606BE">
            <w:pPr>
              <w:spacing w:line="259" w:lineRule="auto"/>
              <w:jc w:val="center"/>
              <w:rPr>
                <w:rFonts w:ascii="Open Sans" w:eastAsiaTheme="minorEastAsia" w:hAnsi="Open Sans" w:cs="Open Sans"/>
                <w:sz w:val="20"/>
                <w:szCs w:val="20"/>
              </w:rPr>
            </w:pPr>
          </w:p>
        </w:tc>
        <w:tc>
          <w:tcPr>
            <w:tcW w:w="2340" w:type="dxa"/>
            <w:shd w:val="clear" w:color="auto" w:fill="C5E0B3" w:themeFill="accent6" w:themeFillTint="66"/>
          </w:tcPr>
          <w:p w14:paraId="581CD38F" w14:textId="2EECAC19" w:rsidR="0042249B" w:rsidRPr="005949EB" w:rsidRDefault="00692A3E" w:rsidP="00B606BE">
            <w:pPr>
              <w:spacing w:line="259" w:lineRule="auto"/>
              <w:jc w:val="center"/>
              <w:rPr>
                <w:rFonts w:ascii="Open Sans" w:eastAsiaTheme="minorEastAsia" w:hAnsi="Open Sans" w:cs="Open Sans"/>
                <w:sz w:val="20"/>
                <w:szCs w:val="20"/>
              </w:rPr>
            </w:pPr>
            <w:r w:rsidRPr="005949EB">
              <w:rPr>
                <w:rFonts w:ascii="Open Sans" w:eastAsiaTheme="minorEastAsia" w:hAnsi="Open Sans" w:cs="Open Sans"/>
                <w:b/>
                <w:bCs/>
                <w:sz w:val="56"/>
                <w:szCs w:val="56"/>
              </w:rPr>
              <w:t>X</w:t>
            </w:r>
          </w:p>
        </w:tc>
      </w:tr>
      <w:tr w:rsidR="00C64402" w:rsidRPr="005949EB" w14:paraId="37A6E588" w14:textId="77777777" w:rsidTr="00831C16">
        <w:trPr>
          <w:trHeight w:val="300"/>
        </w:trPr>
        <w:tc>
          <w:tcPr>
            <w:tcW w:w="2790" w:type="dxa"/>
            <w:tcBorders>
              <w:bottom w:val="single" w:sz="4" w:space="0" w:color="auto"/>
            </w:tcBorders>
          </w:tcPr>
          <w:p w14:paraId="7254D8BF" w14:textId="77777777" w:rsidR="00C64402" w:rsidRPr="005949EB" w:rsidRDefault="00C64402" w:rsidP="001B11AE">
            <w:pPr>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 xml:space="preserve"> Rationale --&gt;</w:t>
            </w:r>
          </w:p>
        </w:tc>
        <w:tc>
          <w:tcPr>
            <w:tcW w:w="6930" w:type="dxa"/>
            <w:gridSpan w:val="3"/>
            <w:tcBorders>
              <w:bottom w:val="single" w:sz="4" w:space="0" w:color="auto"/>
            </w:tcBorders>
          </w:tcPr>
          <w:p w14:paraId="3C0C1C4F" w14:textId="3B4B57AE" w:rsidR="00C64402" w:rsidRPr="005949EB" w:rsidRDefault="00E6453D" w:rsidP="001B11AE">
            <w:pPr>
              <w:rPr>
                <w:rFonts w:ascii="Open Sans" w:hAnsi="Open Sans" w:cs="Open Sans"/>
                <w:sz w:val="20"/>
                <w:szCs w:val="20"/>
              </w:rPr>
            </w:pPr>
            <w:r>
              <w:rPr>
                <w:rFonts w:ascii="Open Sans" w:hAnsi="Open Sans" w:cs="Open Sans"/>
                <w:sz w:val="20"/>
                <w:szCs w:val="20"/>
              </w:rPr>
              <w:t>Data from the</w:t>
            </w:r>
            <w:r w:rsidR="00E12912">
              <w:rPr>
                <w:rFonts w:ascii="Open Sans" w:hAnsi="Open Sans" w:cs="Open Sans"/>
                <w:sz w:val="20"/>
                <w:szCs w:val="20"/>
              </w:rPr>
              <w:t xml:space="preserve"> target </w:t>
            </w:r>
            <w:r>
              <w:rPr>
                <w:rFonts w:ascii="Open Sans" w:hAnsi="Open Sans" w:cs="Open Sans"/>
                <w:sz w:val="20"/>
                <w:szCs w:val="20"/>
              </w:rPr>
              <w:t xml:space="preserve">system (same </w:t>
            </w:r>
            <w:r w:rsidR="00E12912">
              <w:rPr>
                <w:rFonts w:ascii="Open Sans" w:hAnsi="Open Sans" w:cs="Open Sans"/>
                <w:sz w:val="20"/>
                <w:szCs w:val="20"/>
              </w:rPr>
              <w:t>species</w:t>
            </w:r>
            <w:r>
              <w:rPr>
                <w:rFonts w:ascii="Open Sans" w:hAnsi="Open Sans" w:cs="Open Sans"/>
                <w:sz w:val="20"/>
                <w:szCs w:val="20"/>
              </w:rPr>
              <w:t xml:space="preserve">, populations and geographic area) was used to generate the function. </w:t>
            </w:r>
          </w:p>
        </w:tc>
      </w:tr>
      <w:tr w:rsidR="0042249B" w:rsidRPr="005949EB" w14:paraId="7707E97F" w14:textId="77777777" w:rsidTr="00831C16">
        <w:trPr>
          <w:trHeight w:val="300"/>
        </w:trPr>
        <w:tc>
          <w:tcPr>
            <w:tcW w:w="2790" w:type="dxa"/>
            <w:tcBorders>
              <w:top w:val="single" w:sz="4" w:space="0" w:color="auto"/>
              <w:bottom w:val="single" w:sz="4" w:space="0" w:color="auto"/>
            </w:tcBorders>
          </w:tcPr>
          <w:p w14:paraId="18C05C4A" w14:textId="77777777" w:rsidR="0042249B" w:rsidRPr="005949EB" w:rsidRDefault="0042249B" w:rsidP="001B11AE">
            <w:pPr>
              <w:rPr>
                <w:rFonts w:ascii="Open Sans" w:eastAsiaTheme="majorEastAsia" w:hAnsi="Open Sans" w:cs="Open Sans"/>
                <w:b/>
                <w:bCs/>
                <w:color w:val="2F5496" w:themeColor="accent1" w:themeShade="BF"/>
                <w:kern w:val="0"/>
                <w:sz w:val="28"/>
                <w:szCs w:val="28"/>
                <w14:ligatures w14:val="none"/>
              </w:rPr>
            </w:pPr>
            <w:r w:rsidRPr="005949EB">
              <w:rPr>
                <w:rFonts w:ascii="Open Sans" w:eastAsiaTheme="majorEastAsia" w:hAnsi="Open Sans" w:cs="Open Sans"/>
                <w:b/>
                <w:bCs/>
                <w:color w:val="2F5496" w:themeColor="accent1" w:themeShade="BF"/>
                <w:kern w:val="0"/>
                <w:sz w:val="28"/>
                <w:szCs w:val="28"/>
                <w14:ligatures w14:val="none"/>
              </w:rPr>
              <w:t xml:space="preserve">Potential Stressor Interactions </w:t>
            </w:r>
          </w:p>
        </w:tc>
        <w:tc>
          <w:tcPr>
            <w:tcW w:w="2340" w:type="dxa"/>
            <w:tcBorders>
              <w:top w:val="single" w:sz="4" w:space="0" w:color="auto"/>
              <w:bottom w:val="single" w:sz="4" w:space="0" w:color="auto"/>
            </w:tcBorders>
            <w:shd w:val="clear" w:color="auto" w:fill="FFBDBD"/>
          </w:tcPr>
          <w:p w14:paraId="13EED5A5" w14:textId="51A2A154" w:rsidR="0042249B" w:rsidRPr="005949EB" w:rsidRDefault="0042249B" w:rsidP="00B606BE">
            <w:pPr>
              <w:spacing w:line="259" w:lineRule="auto"/>
              <w:jc w:val="center"/>
              <w:rPr>
                <w:rFonts w:ascii="Open Sans" w:eastAsiaTheme="minorEastAsia" w:hAnsi="Open Sans" w:cs="Open Sans"/>
                <w:sz w:val="20"/>
                <w:szCs w:val="20"/>
              </w:rPr>
            </w:pPr>
          </w:p>
        </w:tc>
        <w:tc>
          <w:tcPr>
            <w:tcW w:w="2250" w:type="dxa"/>
            <w:tcBorders>
              <w:top w:val="single" w:sz="4" w:space="0" w:color="auto"/>
              <w:bottom w:val="single" w:sz="4" w:space="0" w:color="auto"/>
            </w:tcBorders>
            <w:shd w:val="clear" w:color="auto" w:fill="FFE599" w:themeFill="accent4" w:themeFillTint="66"/>
          </w:tcPr>
          <w:p w14:paraId="4C86D589" w14:textId="50F23C28" w:rsidR="0042249B" w:rsidRPr="005949EB" w:rsidRDefault="0042249B" w:rsidP="00B606BE">
            <w:pPr>
              <w:spacing w:line="259" w:lineRule="auto"/>
              <w:jc w:val="center"/>
              <w:rPr>
                <w:rFonts w:ascii="Open Sans" w:eastAsiaTheme="minorEastAsia" w:hAnsi="Open Sans" w:cs="Open Sans"/>
                <w:sz w:val="20"/>
                <w:szCs w:val="20"/>
              </w:rPr>
            </w:pPr>
          </w:p>
        </w:tc>
        <w:tc>
          <w:tcPr>
            <w:tcW w:w="2340" w:type="dxa"/>
            <w:tcBorders>
              <w:top w:val="single" w:sz="4" w:space="0" w:color="auto"/>
              <w:bottom w:val="single" w:sz="4" w:space="0" w:color="auto"/>
            </w:tcBorders>
            <w:shd w:val="clear" w:color="auto" w:fill="C5E0B3" w:themeFill="accent6" w:themeFillTint="66"/>
          </w:tcPr>
          <w:p w14:paraId="6BBAC441" w14:textId="6713FEBC" w:rsidR="0042249B" w:rsidRPr="005949EB" w:rsidRDefault="002E0645" w:rsidP="00B606BE">
            <w:pPr>
              <w:jc w:val="center"/>
              <w:rPr>
                <w:rFonts w:ascii="Open Sans" w:eastAsiaTheme="minorEastAsia" w:hAnsi="Open Sans" w:cs="Open Sans"/>
                <w:kern w:val="0"/>
                <w:sz w:val="20"/>
                <w:szCs w:val="20"/>
                <w14:ligatures w14:val="none"/>
              </w:rPr>
            </w:pPr>
            <w:r w:rsidRPr="001E0680">
              <w:rPr>
                <w:rFonts w:ascii="Open Sans" w:eastAsiaTheme="minorEastAsia" w:hAnsi="Open Sans" w:cs="Open Sans"/>
                <w:b/>
                <w:bCs/>
                <w:sz w:val="56"/>
                <w:szCs w:val="56"/>
              </w:rPr>
              <w:t>X</w:t>
            </w:r>
          </w:p>
        </w:tc>
      </w:tr>
      <w:tr w:rsidR="00C64402" w:rsidRPr="005949EB" w14:paraId="0B6F560D" w14:textId="77777777" w:rsidTr="00831C16">
        <w:trPr>
          <w:trHeight w:val="300"/>
        </w:trPr>
        <w:tc>
          <w:tcPr>
            <w:tcW w:w="2790" w:type="dxa"/>
            <w:tcBorders>
              <w:top w:val="single" w:sz="4" w:space="0" w:color="auto"/>
              <w:bottom w:val="single" w:sz="4" w:space="0" w:color="auto"/>
            </w:tcBorders>
          </w:tcPr>
          <w:p w14:paraId="05959EF5" w14:textId="77777777" w:rsidR="00C64402" w:rsidRPr="005949EB" w:rsidRDefault="00C64402" w:rsidP="001B11AE">
            <w:pPr>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 xml:space="preserve"> Rationale --&gt;</w:t>
            </w:r>
          </w:p>
        </w:tc>
        <w:tc>
          <w:tcPr>
            <w:tcW w:w="6930" w:type="dxa"/>
            <w:gridSpan w:val="3"/>
            <w:tcBorders>
              <w:top w:val="single" w:sz="4" w:space="0" w:color="auto"/>
              <w:bottom w:val="single" w:sz="4" w:space="0" w:color="auto"/>
            </w:tcBorders>
          </w:tcPr>
          <w:p w14:paraId="57FFCD2F" w14:textId="4F194C3A" w:rsidR="00C64402" w:rsidRPr="005949EB" w:rsidRDefault="00E6453D" w:rsidP="001B11AE">
            <w:pPr>
              <w:rPr>
                <w:rFonts w:ascii="Open Sans" w:hAnsi="Open Sans" w:cs="Open Sans"/>
                <w:sz w:val="20"/>
                <w:szCs w:val="20"/>
              </w:rPr>
            </w:pPr>
            <w:r>
              <w:rPr>
                <w:rFonts w:ascii="Open Sans" w:hAnsi="Open Sans" w:cs="Open Sans"/>
                <w:sz w:val="20"/>
                <w:szCs w:val="20"/>
              </w:rPr>
              <w:t xml:space="preserve">Percent riffle in </w:t>
            </w:r>
            <w:r w:rsidR="007A28B9">
              <w:rPr>
                <w:rFonts w:ascii="Open Sans" w:hAnsi="Open Sans" w:cs="Open Sans"/>
                <w:sz w:val="20"/>
                <w:szCs w:val="20"/>
              </w:rPr>
              <w:t xml:space="preserve">a </w:t>
            </w:r>
            <w:r>
              <w:rPr>
                <w:rFonts w:ascii="Open Sans" w:hAnsi="Open Sans" w:cs="Open Sans"/>
                <w:sz w:val="20"/>
                <w:szCs w:val="20"/>
              </w:rPr>
              <w:t>reach can influence temperature</w:t>
            </w:r>
            <w:r w:rsidR="00E02533">
              <w:rPr>
                <w:rFonts w:ascii="Open Sans" w:hAnsi="Open Sans" w:cs="Open Sans"/>
                <w:sz w:val="20"/>
                <w:szCs w:val="20"/>
              </w:rPr>
              <w:t xml:space="preserve"> (shallow water may warm more quic</w:t>
            </w:r>
            <w:r w:rsidR="00AA5D5B">
              <w:rPr>
                <w:rFonts w:ascii="Open Sans" w:hAnsi="Open Sans" w:cs="Open Sans"/>
                <w:sz w:val="20"/>
                <w:szCs w:val="20"/>
              </w:rPr>
              <w:t>k</w:t>
            </w:r>
            <w:r w:rsidR="00E02533">
              <w:rPr>
                <w:rFonts w:ascii="Open Sans" w:hAnsi="Open Sans" w:cs="Open Sans"/>
                <w:sz w:val="20"/>
                <w:szCs w:val="20"/>
              </w:rPr>
              <w:t>ly)</w:t>
            </w:r>
            <w:r>
              <w:rPr>
                <w:rFonts w:ascii="Open Sans" w:hAnsi="Open Sans" w:cs="Open Sans"/>
                <w:sz w:val="20"/>
                <w:szCs w:val="20"/>
              </w:rPr>
              <w:t>, and D</w:t>
            </w:r>
            <w:r w:rsidR="002E0645">
              <w:rPr>
                <w:rFonts w:ascii="Open Sans" w:hAnsi="Open Sans" w:cs="Open Sans"/>
                <w:sz w:val="20"/>
                <w:szCs w:val="20"/>
              </w:rPr>
              <w:t>issolved Oxygen concentration in the water</w:t>
            </w:r>
            <w:r w:rsidR="009F4702">
              <w:rPr>
                <w:rFonts w:ascii="Open Sans" w:hAnsi="Open Sans" w:cs="Open Sans"/>
                <w:sz w:val="20"/>
                <w:szCs w:val="20"/>
              </w:rPr>
              <w:t xml:space="preserve"> (riffles are sites of re-aeration)</w:t>
            </w:r>
            <w:r w:rsidR="002E0645">
              <w:rPr>
                <w:rFonts w:ascii="Open Sans" w:hAnsi="Open Sans" w:cs="Open Sans"/>
                <w:sz w:val="20"/>
                <w:szCs w:val="20"/>
              </w:rPr>
              <w:t xml:space="preserve">, which </w:t>
            </w:r>
            <w:r w:rsidR="009F4702">
              <w:rPr>
                <w:rFonts w:ascii="Open Sans" w:hAnsi="Open Sans" w:cs="Open Sans"/>
                <w:sz w:val="20"/>
                <w:szCs w:val="20"/>
              </w:rPr>
              <w:t xml:space="preserve">both </w:t>
            </w:r>
            <w:r w:rsidR="00A44CCC">
              <w:rPr>
                <w:rFonts w:ascii="Open Sans" w:hAnsi="Open Sans" w:cs="Open Sans"/>
                <w:sz w:val="20"/>
                <w:szCs w:val="20"/>
              </w:rPr>
              <w:t>influence</w:t>
            </w:r>
            <w:r w:rsidR="002E0645">
              <w:rPr>
                <w:rFonts w:ascii="Open Sans" w:hAnsi="Open Sans" w:cs="Open Sans"/>
                <w:sz w:val="20"/>
                <w:szCs w:val="20"/>
              </w:rPr>
              <w:t xml:space="preserve"> Nooksack Dace</w:t>
            </w:r>
            <w:r w:rsidR="00A44CCC">
              <w:rPr>
                <w:rFonts w:ascii="Open Sans" w:hAnsi="Open Sans" w:cs="Open Sans"/>
                <w:sz w:val="20"/>
                <w:szCs w:val="20"/>
              </w:rPr>
              <w:t xml:space="preserve"> </w:t>
            </w:r>
            <w:r w:rsidR="009F4702">
              <w:rPr>
                <w:rFonts w:ascii="Open Sans" w:hAnsi="Open Sans" w:cs="Open Sans"/>
                <w:sz w:val="20"/>
                <w:szCs w:val="20"/>
              </w:rPr>
              <w:t>physiology</w:t>
            </w:r>
            <w:r w:rsidR="002E0645">
              <w:rPr>
                <w:rFonts w:ascii="Open Sans" w:hAnsi="Open Sans" w:cs="Open Sans"/>
                <w:sz w:val="20"/>
                <w:szCs w:val="20"/>
              </w:rPr>
              <w:t xml:space="preserve">.  However, </w:t>
            </w:r>
            <w:r w:rsidR="009F4702">
              <w:rPr>
                <w:rFonts w:ascii="Open Sans" w:hAnsi="Open Sans" w:cs="Open Sans"/>
                <w:sz w:val="20"/>
                <w:szCs w:val="20"/>
              </w:rPr>
              <w:t xml:space="preserve">separate </w:t>
            </w:r>
            <w:r w:rsidR="002E0645">
              <w:rPr>
                <w:rFonts w:ascii="Open Sans" w:hAnsi="Open Sans" w:cs="Open Sans"/>
                <w:sz w:val="20"/>
                <w:szCs w:val="20"/>
              </w:rPr>
              <w:t>stressor-response function</w:t>
            </w:r>
            <w:r w:rsidR="009308DE">
              <w:rPr>
                <w:rFonts w:ascii="Open Sans" w:hAnsi="Open Sans" w:cs="Open Sans"/>
                <w:sz w:val="20"/>
                <w:szCs w:val="20"/>
              </w:rPr>
              <w:t>s</w:t>
            </w:r>
            <w:r w:rsidR="002E0645">
              <w:rPr>
                <w:rFonts w:ascii="Open Sans" w:hAnsi="Open Sans" w:cs="Open Sans"/>
                <w:sz w:val="20"/>
                <w:szCs w:val="20"/>
              </w:rPr>
              <w:t xml:space="preserve"> </w:t>
            </w:r>
            <w:r w:rsidR="009F4702">
              <w:rPr>
                <w:rFonts w:ascii="Open Sans" w:hAnsi="Open Sans" w:cs="Open Sans"/>
                <w:sz w:val="20"/>
                <w:szCs w:val="20"/>
              </w:rPr>
              <w:t xml:space="preserve">have </w:t>
            </w:r>
            <w:r w:rsidR="002E0645">
              <w:rPr>
                <w:rFonts w:ascii="Open Sans" w:hAnsi="Open Sans" w:cs="Open Sans"/>
                <w:sz w:val="20"/>
                <w:szCs w:val="20"/>
              </w:rPr>
              <w:t xml:space="preserve">been derived for </w:t>
            </w:r>
            <w:r w:rsidR="009F4702">
              <w:rPr>
                <w:rFonts w:ascii="Open Sans" w:hAnsi="Open Sans" w:cs="Open Sans"/>
                <w:sz w:val="20"/>
                <w:szCs w:val="20"/>
              </w:rPr>
              <w:t xml:space="preserve">the </w:t>
            </w:r>
            <w:r w:rsidR="009308DE">
              <w:rPr>
                <w:rFonts w:ascii="Open Sans" w:hAnsi="Open Sans" w:cs="Open Sans"/>
                <w:sz w:val="20"/>
                <w:szCs w:val="20"/>
              </w:rPr>
              <w:t>effects</w:t>
            </w:r>
            <w:r w:rsidR="002E0645">
              <w:rPr>
                <w:rFonts w:ascii="Open Sans" w:hAnsi="Open Sans" w:cs="Open Sans"/>
                <w:sz w:val="20"/>
                <w:szCs w:val="20"/>
              </w:rPr>
              <w:t xml:space="preserve"> of </w:t>
            </w:r>
            <w:r w:rsidR="002826AB">
              <w:rPr>
                <w:rFonts w:ascii="Open Sans" w:hAnsi="Open Sans" w:cs="Open Sans"/>
                <w:sz w:val="20"/>
                <w:szCs w:val="20"/>
              </w:rPr>
              <w:t>temperature and</w:t>
            </w:r>
            <w:r>
              <w:rPr>
                <w:rFonts w:ascii="Open Sans" w:hAnsi="Open Sans" w:cs="Open Sans"/>
                <w:sz w:val="20"/>
                <w:szCs w:val="20"/>
              </w:rPr>
              <w:t xml:space="preserve"> </w:t>
            </w:r>
            <w:r w:rsidR="007E1612">
              <w:rPr>
                <w:rFonts w:ascii="Open Sans" w:hAnsi="Open Sans" w:cs="Open Sans"/>
                <w:sz w:val="20"/>
                <w:szCs w:val="20"/>
              </w:rPr>
              <w:t>D</w:t>
            </w:r>
            <w:r>
              <w:rPr>
                <w:rFonts w:ascii="Open Sans" w:hAnsi="Open Sans" w:cs="Open Sans"/>
                <w:sz w:val="20"/>
                <w:szCs w:val="20"/>
              </w:rPr>
              <w:t>issolve</w:t>
            </w:r>
            <w:r w:rsidR="007E1612">
              <w:rPr>
                <w:rFonts w:ascii="Open Sans" w:hAnsi="Open Sans" w:cs="Open Sans"/>
                <w:sz w:val="20"/>
                <w:szCs w:val="20"/>
              </w:rPr>
              <w:t>d</w:t>
            </w:r>
            <w:r>
              <w:rPr>
                <w:rFonts w:ascii="Open Sans" w:hAnsi="Open Sans" w:cs="Open Sans"/>
                <w:sz w:val="20"/>
                <w:szCs w:val="20"/>
              </w:rPr>
              <w:t xml:space="preserve"> Oxygen concentration </w:t>
            </w:r>
            <w:r w:rsidR="002E0645">
              <w:rPr>
                <w:rFonts w:ascii="Open Sans" w:hAnsi="Open Sans" w:cs="Open Sans"/>
                <w:sz w:val="20"/>
                <w:szCs w:val="20"/>
              </w:rPr>
              <w:t xml:space="preserve">on system capacity </w:t>
            </w:r>
            <w:r w:rsidR="009F4702">
              <w:rPr>
                <w:rFonts w:ascii="Open Sans" w:hAnsi="Open Sans" w:cs="Open Sans"/>
                <w:sz w:val="20"/>
                <w:szCs w:val="20"/>
              </w:rPr>
              <w:t xml:space="preserve">for </w:t>
            </w:r>
            <w:r w:rsidR="002E0645">
              <w:rPr>
                <w:rFonts w:ascii="Open Sans" w:hAnsi="Open Sans" w:cs="Open Sans"/>
                <w:sz w:val="20"/>
                <w:szCs w:val="20"/>
              </w:rPr>
              <w:t xml:space="preserve">Nooksack Dace.  </w:t>
            </w:r>
            <w:r w:rsidR="00D706F3" w:rsidRPr="005949EB">
              <w:rPr>
                <w:rFonts w:ascii="Open Sans" w:hAnsi="Open Sans" w:cs="Open Sans"/>
                <w:sz w:val="20"/>
                <w:szCs w:val="20"/>
              </w:rPr>
              <w:t xml:space="preserve"> </w:t>
            </w:r>
            <w:r w:rsidR="002826AB">
              <w:rPr>
                <w:rFonts w:ascii="Open Sans" w:hAnsi="Open Sans" w:cs="Open Sans"/>
                <w:sz w:val="20"/>
                <w:szCs w:val="20"/>
              </w:rPr>
              <w:t xml:space="preserve">In addition, substrate type </w:t>
            </w:r>
            <w:r w:rsidR="009F4702">
              <w:rPr>
                <w:rFonts w:ascii="Open Sans" w:hAnsi="Open Sans" w:cs="Open Sans"/>
                <w:sz w:val="20"/>
                <w:szCs w:val="20"/>
              </w:rPr>
              <w:t>may also be correlated with percent riffle, since both increase with higher gradient, and both</w:t>
            </w:r>
            <w:r w:rsidR="002826AB">
              <w:rPr>
                <w:rFonts w:ascii="Open Sans" w:hAnsi="Open Sans" w:cs="Open Sans"/>
                <w:sz w:val="20"/>
                <w:szCs w:val="20"/>
              </w:rPr>
              <w:t xml:space="preserve"> influence system capacity. </w:t>
            </w:r>
            <w:r w:rsidR="009F4702">
              <w:rPr>
                <w:rFonts w:ascii="Open Sans" w:hAnsi="Open Sans" w:cs="Open Sans"/>
                <w:sz w:val="20"/>
                <w:szCs w:val="20"/>
              </w:rPr>
              <w:t xml:space="preserve"> However, substrate size may also act independently of percent riffle, because riffles that are primarily gravel have lower abundance of Nooksack dace.</w:t>
            </w:r>
            <w:r w:rsidR="009308DE">
              <w:rPr>
                <w:rFonts w:ascii="Open Sans" w:hAnsi="Open Sans" w:cs="Open Sans"/>
                <w:sz w:val="20"/>
                <w:szCs w:val="20"/>
              </w:rPr>
              <w:t xml:space="preserve"> Nevertheless, a separate stressor-response function has been derived for the effect of cobble substrate cover. </w:t>
            </w:r>
          </w:p>
        </w:tc>
      </w:tr>
    </w:tbl>
    <w:p w14:paraId="3EAAB619" w14:textId="77777777" w:rsidR="0042249B" w:rsidRPr="005949EB" w:rsidRDefault="0042249B" w:rsidP="005B48F0">
      <w:pPr>
        <w:pStyle w:val="Heading1"/>
        <w:spacing w:before="0" w:line="240" w:lineRule="auto"/>
        <w:rPr>
          <w:rFonts w:ascii="Open Sans" w:hAnsi="Open Sans" w:cs="Open Sans"/>
          <w:color w:val="004848"/>
        </w:rPr>
      </w:pPr>
    </w:p>
    <w:p w14:paraId="10A82198" w14:textId="7994FC3D" w:rsidR="00C5276A" w:rsidRPr="005949EB" w:rsidRDefault="00C5276A" w:rsidP="00B5031E">
      <w:pPr>
        <w:rPr>
          <w:rFonts w:ascii="Open Sans SemiBold" w:hAnsi="Open Sans SemiBold" w:cs="Open Sans SemiBold"/>
          <w:color w:val="004848"/>
        </w:rPr>
      </w:pPr>
      <w:r w:rsidRPr="005949EB">
        <w:rPr>
          <w:rFonts w:ascii="Open Sans SemiBold" w:hAnsi="Open Sans SemiBold" w:cs="Open Sans SemiBold"/>
          <w:color w:val="004848"/>
        </w:rPr>
        <w:t>Recommended Citation</w:t>
      </w:r>
    </w:p>
    <w:p w14:paraId="1D1D7201" w14:textId="5BBFC804" w:rsidR="00C5276A" w:rsidRPr="005949EB" w:rsidRDefault="00C5276A" w:rsidP="00C5276A">
      <w:pPr>
        <w:rPr>
          <w:rFonts w:ascii="Open Sans" w:hAnsi="Open Sans" w:cs="Open Sans"/>
        </w:rPr>
      </w:pPr>
      <w:r w:rsidRPr="005949EB">
        <w:rPr>
          <w:rFonts w:ascii="Open Sans" w:hAnsi="Open Sans" w:cs="Open Sans"/>
        </w:rPr>
        <w:t>This document should be cited as:</w:t>
      </w:r>
    </w:p>
    <w:p w14:paraId="1D623C81" w14:textId="3A41C69E" w:rsidR="00C04F79" w:rsidRPr="005949EB" w:rsidRDefault="00FB2E0A" w:rsidP="00CA2A39">
      <w:pPr>
        <w:spacing w:after="100" w:afterAutospacing="1" w:line="240" w:lineRule="auto"/>
        <w:ind w:left="720" w:hanging="720"/>
        <w:rPr>
          <w:rFonts w:ascii="Open Sans" w:hAnsi="Open Sans" w:cs="Open Sans"/>
        </w:rPr>
      </w:pPr>
      <w:r>
        <w:rPr>
          <w:rFonts w:ascii="Open Sans" w:hAnsi="Open Sans" w:cs="Open Sans"/>
        </w:rPr>
        <w:t>Usoof, A.M. and Rosenfeld, J.S.</w:t>
      </w:r>
      <w:r w:rsidRPr="005949EB">
        <w:rPr>
          <w:rFonts w:ascii="Open Sans" w:hAnsi="Open Sans" w:cs="Open Sans"/>
        </w:rPr>
        <w:t xml:space="preserve"> 2024. </w:t>
      </w:r>
      <w:r w:rsidR="00C04F79" w:rsidRPr="005949EB">
        <w:rPr>
          <w:rFonts w:ascii="Open Sans" w:hAnsi="Open Sans" w:cs="Open Sans"/>
        </w:rPr>
        <w:t xml:space="preserve"> Relationship between </w:t>
      </w:r>
      <w:r w:rsidR="00DF2C8C">
        <w:rPr>
          <w:rFonts w:ascii="Open Sans" w:hAnsi="Open Sans" w:cs="Open Sans"/>
        </w:rPr>
        <w:t>system capacity</w:t>
      </w:r>
      <w:r w:rsidR="00C04F79" w:rsidRPr="005949EB">
        <w:rPr>
          <w:rFonts w:ascii="Open Sans" w:hAnsi="Open Sans" w:cs="Open Sans"/>
        </w:rPr>
        <w:t xml:space="preserve"> and </w:t>
      </w:r>
      <w:r w:rsidR="00A94087">
        <w:rPr>
          <w:rFonts w:ascii="Open Sans" w:hAnsi="Open Sans" w:cs="Open Sans"/>
        </w:rPr>
        <w:t>Percent Riffle in Reach</w:t>
      </w:r>
      <w:r w:rsidR="00DF2C8C">
        <w:rPr>
          <w:rFonts w:ascii="Open Sans" w:hAnsi="Open Sans" w:cs="Open Sans"/>
        </w:rPr>
        <w:t xml:space="preserve"> for Nooksack Dace</w:t>
      </w:r>
      <w:r w:rsidR="00CA2A39" w:rsidRPr="005949EB">
        <w:rPr>
          <w:rFonts w:ascii="Open Sans" w:hAnsi="Open Sans" w:cs="Open Sans"/>
        </w:rPr>
        <w:t>.</w:t>
      </w:r>
    </w:p>
    <w:p w14:paraId="22BF6A15" w14:textId="5051331E" w:rsidR="00EE401F" w:rsidRPr="005949EB" w:rsidRDefault="00EE401F" w:rsidP="00EE401F">
      <w:pPr>
        <w:rPr>
          <w:rFonts w:ascii="Segoe UI" w:hAnsi="Segoe UI" w:cs="Segoe UI"/>
          <w:b/>
          <w:bCs/>
          <w:color w:val="2F5496" w:themeColor="accent1" w:themeShade="BF"/>
        </w:rPr>
      </w:pPr>
      <w:r w:rsidRPr="005949EB">
        <w:rPr>
          <w:rFonts w:ascii="Segoe UI" w:hAnsi="Segoe UI" w:cs="Segoe UI"/>
          <w:b/>
          <w:bCs/>
          <w:color w:val="2F5496" w:themeColor="accent1" w:themeShade="BF"/>
          <w:sz w:val="24"/>
          <w:szCs w:val="24"/>
        </w:rPr>
        <w:t>______________________________________________________________________________</w:t>
      </w:r>
      <w:r w:rsidR="00DB180F" w:rsidRPr="005949EB">
        <w:rPr>
          <w:rFonts w:ascii="Segoe UI" w:hAnsi="Segoe UI" w:cs="Segoe UI"/>
          <w:b/>
          <w:bCs/>
          <w:color w:val="2F5496" w:themeColor="accent1" w:themeShade="BF"/>
          <w:sz w:val="24"/>
          <w:szCs w:val="24"/>
        </w:rPr>
        <w:t>_______________</w:t>
      </w:r>
    </w:p>
    <w:p w14:paraId="7187B37D" w14:textId="5F5FB8E5" w:rsidR="00827EBF" w:rsidRPr="00827EBF" w:rsidRDefault="00283331" w:rsidP="00827EBF">
      <w:pPr>
        <w:pStyle w:val="Heading1"/>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t xml:space="preserve">References </w:t>
      </w:r>
    </w:p>
    <w:p w14:paraId="6D74C84F" w14:textId="2CDF5406" w:rsidR="000124D6" w:rsidRPr="000124D6" w:rsidRDefault="00827EBF" w:rsidP="000124D6">
      <w:pPr>
        <w:widowControl w:val="0"/>
        <w:autoSpaceDE w:val="0"/>
        <w:autoSpaceDN w:val="0"/>
        <w:adjustRightInd w:val="0"/>
        <w:spacing w:line="240" w:lineRule="auto"/>
        <w:ind w:left="480" w:hanging="480"/>
        <w:rPr>
          <w:rFonts w:ascii="Open Sans" w:hAnsi="Open Sans" w:cs="Open Sans"/>
          <w:noProof/>
        </w:rPr>
      </w:pPr>
      <w:r w:rsidRPr="00827EBF">
        <w:rPr>
          <w:rFonts w:ascii="Open Sans" w:hAnsi="Open Sans" w:cs="Open Sans"/>
        </w:rPr>
        <w:fldChar w:fldCharType="begin" w:fldLock="1"/>
      </w:r>
      <w:r w:rsidRPr="00827EBF">
        <w:rPr>
          <w:rFonts w:ascii="Open Sans" w:hAnsi="Open Sans" w:cs="Open Sans"/>
        </w:rPr>
        <w:instrText xml:space="preserve">ADDIN Mendeley Bibliography CSL_BIBLIOGRAPHY </w:instrText>
      </w:r>
      <w:r w:rsidRPr="00827EBF">
        <w:rPr>
          <w:rFonts w:ascii="Open Sans" w:hAnsi="Open Sans" w:cs="Open Sans"/>
        </w:rPr>
        <w:fldChar w:fldCharType="separate"/>
      </w:r>
      <w:r w:rsidR="000124D6" w:rsidRPr="000124D6">
        <w:rPr>
          <w:rFonts w:ascii="Open Sans" w:hAnsi="Open Sans" w:cs="Open Sans"/>
          <w:noProof/>
        </w:rPr>
        <w:t>Edwards, E. A., H. Li, and C. B. Schreck. 1983. Habitat Suitability Index Models: Longnose Dace. U.S. Dept. Int., FishWildl. Serv. FWS/OBS-82/10.33.</w:t>
      </w:r>
    </w:p>
    <w:p w14:paraId="343565BA" w14:textId="77777777" w:rsidR="000124D6" w:rsidRPr="000124D6" w:rsidRDefault="000124D6" w:rsidP="000124D6">
      <w:pPr>
        <w:widowControl w:val="0"/>
        <w:autoSpaceDE w:val="0"/>
        <w:autoSpaceDN w:val="0"/>
        <w:adjustRightInd w:val="0"/>
        <w:spacing w:line="240" w:lineRule="auto"/>
        <w:ind w:left="480" w:hanging="480"/>
        <w:rPr>
          <w:rFonts w:ascii="Open Sans" w:hAnsi="Open Sans" w:cs="Open Sans"/>
          <w:noProof/>
        </w:rPr>
      </w:pPr>
      <w:r w:rsidRPr="000124D6">
        <w:rPr>
          <w:rFonts w:ascii="Open Sans" w:hAnsi="Open Sans" w:cs="Open Sans"/>
          <w:noProof/>
        </w:rPr>
        <w:t>Pearson, M. P. 2004. The ecology, status and recovery prospects of Noonsack dace (Rhinichthys Cataractae ssp.) and Salish sucker (Catostomus sp.) in Canada. University of British Columbia.</w:t>
      </w:r>
    </w:p>
    <w:p w14:paraId="7F8C611D" w14:textId="77777777" w:rsidR="000124D6" w:rsidRPr="000124D6" w:rsidRDefault="000124D6" w:rsidP="000124D6">
      <w:pPr>
        <w:widowControl w:val="0"/>
        <w:autoSpaceDE w:val="0"/>
        <w:autoSpaceDN w:val="0"/>
        <w:adjustRightInd w:val="0"/>
        <w:spacing w:line="240" w:lineRule="auto"/>
        <w:ind w:left="480" w:hanging="480"/>
        <w:rPr>
          <w:rFonts w:ascii="Open Sans" w:hAnsi="Open Sans" w:cs="Open Sans"/>
          <w:noProof/>
        </w:rPr>
      </w:pPr>
      <w:r w:rsidRPr="000124D6">
        <w:rPr>
          <w:rFonts w:ascii="Open Sans" w:hAnsi="Open Sans" w:cs="Open Sans"/>
          <w:noProof/>
        </w:rPr>
        <w:t>Pearson, M. P., T. Hatfield, J. D. McPhail, J. S. Richardson, J. S. Rosenfeld, H. Schreier, D. Schluter, D. J. Sneep, M. Stejpovic, E. B. Taylor, and P. M. Wood. 2007. Recovery Strategy for the Nooksack Dace ( Rhinichthys cataractae) in Canada. Species at. Fisheries and Oceans Canada, Vancouver B.C.</w:t>
      </w:r>
    </w:p>
    <w:p w14:paraId="0A1A3E7B" w14:textId="3D689193" w:rsidR="00827EBF" w:rsidRPr="00827EBF" w:rsidRDefault="00827EBF" w:rsidP="00827EBF">
      <w:r w:rsidRPr="00827EBF">
        <w:rPr>
          <w:rFonts w:ascii="Open Sans" w:hAnsi="Open Sans" w:cs="Open Sans"/>
        </w:rPr>
        <w:fldChar w:fldCharType="end"/>
      </w:r>
    </w:p>
    <w:p w14:paraId="579602B0" w14:textId="3F744123" w:rsidR="00805F8E" w:rsidRDefault="00805F8E" w:rsidP="006015F3">
      <w:pPr>
        <w:spacing w:after="0" w:line="240" w:lineRule="auto"/>
        <w:ind w:left="720" w:hanging="720"/>
        <w:rPr>
          <w:rFonts w:ascii="Open Sans" w:hAnsi="Open Sans" w:cs="Open Sans"/>
        </w:rPr>
      </w:pPr>
    </w:p>
    <w:p w14:paraId="74FA365D" w14:textId="77777777" w:rsidR="00827EBF" w:rsidRPr="005949EB" w:rsidRDefault="00827EBF" w:rsidP="006015F3">
      <w:pPr>
        <w:spacing w:after="0" w:line="240" w:lineRule="auto"/>
        <w:ind w:left="720" w:hanging="720"/>
        <w:rPr>
          <w:rFonts w:ascii="Open Sans" w:hAnsi="Open Sans" w:cs="Open Sans"/>
        </w:rPr>
      </w:pPr>
    </w:p>
    <w:sectPr w:rsidR="00827EBF" w:rsidRPr="005949E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BC2C" w14:textId="77777777" w:rsidR="00AC6B25" w:rsidRPr="005949EB" w:rsidRDefault="00AC6B25" w:rsidP="00E7799D">
      <w:pPr>
        <w:spacing w:after="0" w:line="240" w:lineRule="auto"/>
      </w:pPr>
      <w:r w:rsidRPr="005949EB">
        <w:separator/>
      </w:r>
    </w:p>
  </w:endnote>
  <w:endnote w:type="continuationSeparator" w:id="0">
    <w:p w14:paraId="654F7ED4" w14:textId="77777777" w:rsidR="00AC6B25" w:rsidRPr="005949EB" w:rsidRDefault="00AC6B25" w:rsidP="00E7799D">
      <w:pPr>
        <w:spacing w:after="0" w:line="240" w:lineRule="auto"/>
      </w:pPr>
      <w:r w:rsidRPr="005949EB">
        <w:continuationSeparator/>
      </w:r>
    </w:p>
  </w:endnote>
  <w:endnote w:type="continuationNotice" w:id="1">
    <w:p w14:paraId="5815FC4E" w14:textId="77777777" w:rsidR="00AC6B25" w:rsidRPr="005949EB" w:rsidRDefault="00AC6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SemiBold">
    <w:altName w:val="Segoe UI"/>
    <w:charset w:val="00"/>
    <w:family w:val="swiss"/>
    <w:pitch w:val="variable"/>
    <w:sig w:usb0="E00002EF" w:usb1="4000205B" w:usb2="00000028" w:usb3="00000000" w:csb0="0000019F" w:csb1="00000000"/>
  </w:font>
  <w:font w:name="HelveticaNeueLTStd-Lt">
    <w:altName w:val="Arial"/>
    <w:panose1 w:val="00000000000000000000"/>
    <w:charset w:val="00"/>
    <w:family w:val="roman"/>
    <w:notTrueType/>
    <w:pitch w:val="default"/>
  </w:font>
  <w:font w:name="Segoe UI">
    <w:panose1 w:val="020B0502040204020203"/>
    <w:charset w:val="00"/>
    <w:family w:val="swiss"/>
    <w:pitch w:val="variable"/>
    <w:sig w:usb0="E5002EFF" w:usb1="C000E47F" w:usb2="00000029" w:usb3="00000000" w:csb0="000001F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23876"/>
      <w:docPartObj>
        <w:docPartGallery w:val="Page Numbers (Bottom of Page)"/>
        <w:docPartUnique/>
      </w:docPartObj>
    </w:sdtPr>
    <w:sdtEndPr>
      <w:rPr>
        <w:rFonts w:ascii="Open Sans" w:hAnsi="Open Sans" w:cs="Open Sans"/>
        <w:sz w:val="20"/>
        <w:szCs w:val="20"/>
      </w:rPr>
    </w:sdtEndPr>
    <w:sdtContent>
      <w:p w14:paraId="5D88F19A" w14:textId="29A996B9" w:rsidR="00E7799D" w:rsidRPr="005949EB" w:rsidRDefault="00E7799D">
        <w:pPr>
          <w:pStyle w:val="Footer"/>
          <w:jc w:val="right"/>
          <w:rPr>
            <w:rFonts w:ascii="Open Sans" w:hAnsi="Open Sans" w:cs="Open Sans"/>
            <w:sz w:val="20"/>
            <w:szCs w:val="20"/>
          </w:rPr>
        </w:pPr>
        <w:r w:rsidRPr="005949EB">
          <w:rPr>
            <w:rFonts w:ascii="Open Sans" w:hAnsi="Open Sans" w:cs="Open Sans"/>
            <w:sz w:val="20"/>
            <w:szCs w:val="20"/>
          </w:rPr>
          <w:fldChar w:fldCharType="begin"/>
        </w:r>
        <w:r w:rsidRPr="005949EB">
          <w:rPr>
            <w:rFonts w:ascii="Open Sans" w:hAnsi="Open Sans" w:cs="Open Sans"/>
            <w:sz w:val="20"/>
            <w:szCs w:val="20"/>
          </w:rPr>
          <w:instrText xml:space="preserve"> PAGE   \* MERGEFORMAT </w:instrText>
        </w:r>
        <w:r w:rsidRPr="005949EB">
          <w:rPr>
            <w:rFonts w:ascii="Open Sans" w:hAnsi="Open Sans" w:cs="Open Sans"/>
            <w:sz w:val="20"/>
            <w:szCs w:val="20"/>
          </w:rPr>
          <w:fldChar w:fldCharType="separate"/>
        </w:r>
        <w:r w:rsidRPr="005949EB">
          <w:rPr>
            <w:rFonts w:ascii="Open Sans" w:hAnsi="Open Sans" w:cs="Open Sans"/>
            <w:sz w:val="20"/>
            <w:szCs w:val="20"/>
          </w:rPr>
          <w:t>2</w:t>
        </w:r>
        <w:r w:rsidRPr="005949EB">
          <w:rPr>
            <w:rFonts w:ascii="Open Sans" w:hAnsi="Open Sans" w:cs="Open Sans"/>
            <w:sz w:val="20"/>
            <w:szCs w:val="20"/>
          </w:rPr>
          <w:fldChar w:fldCharType="end"/>
        </w:r>
      </w:p>
    </w:sdtContent>
  </w:sdt>
  <w:p w14:paraId="3DA6CF0A" w14:textId="77777777" w:rsidR="00E7799D" w:rsidRPr="005949EB" w:rsidRDefault="00E7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E7B0" w14:textId="77777777" w:rsidR="00AC6B25" w:rsidRPr="005949EB" w:rsidRDefault="00AC6B25" w:rsidP="00E7799D">
      <w:pPr>
        <w:spacing w:after="0" w:line="240" w:lineRule="auto"/>
      </w:pPr>
      <w:r w:rsidRPr="005949EB">
        <w:separator/>
      </w:r>
    </w:p>
  </w:footnote>
  <w:footnote w:type="continuationSeparator" w:id="0">
    <w:p w14:paraId="3719F416" w14:textId="77777777" w:rsidR="00AC6B25" w:rsidRPr="005949EB" w:rsidRDefault="00AC6B25" w:rsidP="00E7799D">
      <w:pPr>
        <w:spacing w:after="0" w:line="240" w:lineRule="auto"/>
      </w:pPr>
      <w:r w:rsidRPr="005949EB">
        <w:continuationSeparator/>
      </w:r>
    </w:p>
  </w:footnote>
  <w:footnote w:type="continuationNotice" w:id="1">
    <w:p w14:paraId="4CB3D192" w14:textId="77777777" w:rsidR="00AC6B25" w:rsidRPr="005949EB" w:rsidRDefault="00AC6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8403" w14:textId="6C8D1637" w:rsidR="00C368E1" w:rsidRPr="005949EB" w:rsidRDefault="00C368E1" w:rsidP="00762B7E">
    <w:pPr>
      <w:pStyle w:val="Header"/>
      <w:rPr>
        <w:rFonts w:ascii="Open Sans Light" w:hAnsi="Open Sans Light" w:cs="Open Sans Light"/>
        <w:sz w:val="20"/>
        <w:szCs w:val="20"/>
      </w:rPr>
    </w:pPr>
    <w:r w:rsidRPr="005949EB">
      <w:rPr>
        <w:rFonts w:ascii="Open Sans Light" w:hAnsi="Open Sans Light" w:cs="Open Sans Light"/>
        <w:sz w:val="20"/>
        <w:szCs w:val="20"/>
      </w:rPr>
      <w:t xml:space="preserve">Stressor-Response </w:t>
    </w:r>
    <w:r w:rsidR="00571DE7" w:rsidRPr="005949EB">
      <w:rPr>
        <w:rFonts w:ascii="Open Sans Light" w:hAnsi="Open Sans Light" w:cs="Open Sans Light"/>
        <w:sz w:val="20"/>
        <w:szCs w:val="20"/>
      </w:rPr>
      <w:t xml:space="preserve">Function </w:t>
    </w:r>
    <w:r w:rsidRPr="005949EB">
      <w:rPr>
        <w:rFonts w:ascii="Open Sans Light" w:hAnsi="Open Sans Light" w:cs="Open Sans Light"/>
        <w:sz w:val="20"/>
        <w:szCs w:val="20"/>
      </w:rPr>
      <w:t>Library Documentation</w:t>
    </w:r>
    <w:r w:rsidRPr="005949EB">
      <w:rPr>
        <w:rFonts w:ascii="Open Sans Light" w:hAnsi="Open Sans Light" w:cs="Open Sans Light"/>
        <w:sz w:val="20"/>
        <w:szCs w:val="20"/>
      </w:rPr>
      <w:tab/>
    </w:r>
    <w:r w:rsidRPr="005949EB">
      <w:rPr>
        <w:rFonts w:ascii="Open Sans Light" w:hAnsi="Open Sans Light" w:cs="Open Sans Light"/>
        <w:sz w:val="20"/>
        <w:szCs w:val="20"/>
      </w:rPr>
      <w:tab/>
    </w:r>
    <w:r w:rsidR="00C47B94" w:rsidRPr="005949EB">
      <w:rPr>
        <w:rFonts w:ascii="Open Sans Light" w:hAnsi="Open Sans Light" w:cs="Open Sans Light"/>
        <w:sz w:val="20"/>
        <w:szCs w:val="20"/>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1F1"/>
    <w:multiLevelType w:val="hybridMultilevel"/>
    <w:tmpl w:val="75E07880"/>
    <w:lvl w:ilvl="0" w:tplc="BD44744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C6E44"/>
    <w:multiLevelType w:val="hybridMultilevel"/>
    <w:tmpl w:val="A5066BA8"/>
    <w:lvl w:ilvl="0" w:tplc="2DA09DA8">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7346264">
    <w:abstractNumId w:val="1"/>
  </w:num>
  <w:num w:numId="2" w16cid:durableId="147235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3MDY1NDc3NDQzMTRS0lEKTi0uzszPAykwMa4FAJ5ss/stAAAA"/>
  </w:docVars>
  <w:rsids>
    <w:rsidRoot w:val="00EE401F"/>
    <w:rsid w:val="00000FFE"/>
    <w:rsid w:val="00001038"/>
    <w:rsid w:val="00001D79"/>
    <w:rsid w:val="0000261F"/>
    <w:rsid w:val="000026E2"/>
    <w:rsid w:val="000029A9"/>
    <w:rsid w:val="0000394A"/>
    <w:rsid w:val="00003B6A"/>
    <w:rsid w:val="00005792"/>
    <w:rsid w:val="000062F6"/>
    <w:rsid w:val="00007BF7"/>
    <w:rsid w:val="000101B0"/>
    <w:rsid w:val="00010BC2"/>
    <w:rsid w:val="00011382"/>
    <w:rsid w:val="000124D6"/>
    <w:rsid w:val="00015839"/>
    <w:rsid w:val="00016078"/>
    <w:rsid w:val="000165A3"/>
    <w:rsid w:val="00016D31"/>
    <w:rsid w:val="00017BF6"/>
    <w:rsid w:val="00020003"/>
    <w:rsid w:val="00021C72"/>
    <w:rsid w:val="00022F54"/>
    <w:rsid w:val="00023826"/>
    <w:rsid w:val="00024020"/>
    <w:rsid w:val="000245F0"/>
    <w:rsid w:val="00024DBB"/>
    <w:rsid w:val="00024F0A"/>
    <w:rsid w:val="00025FE9"/>
    <w:rsid w:val="00031AD9"/>
    <w:rsid w:val="000320D2"/>
    <w:rsid w:val="00032678"/>
    <w:rsid w:val="0003276E"/>
    <w:rsid w:val="000355E1"/>
    <w:rsid w:val="00036F9C"/>
    <w:rsid w:val="00041020"/>
    <w:rsid w:val="00041823"/>
    <w:rsid w:val="00041C7F"/>
    <w:rsid w:val="0004351C"/>
    <w:rsid w:val="00043A61"/>
    <w:rsid w:val="0004418D"/>
    <w:rsid w:val="0004514A"/>
    <w:rsid w:val="000456D5"/>
    <w:rsid w:val="000465B9"/>
    <w:rsid w:val="00047E20"/>
    <w:rsid w:val="00050786"/>
    <w:rsid w:val="00052045"/>
    <w:rsid w:val="00052C98"/>
    <w:rsid w:val="00053690"/>
    <w:rsid w:val="0005552E"/>
    <w:rsid w:val="00055AB0"/>
    <w:rsid w:val="00060C85"/>
    <w:rsid w:val="00060F5D"/>
    <w:rsid w:val="00061A99"/>
    <w:rsid w:val="000621D5"/>
    <w:rsid w:val="00064DDD"/>
    <w:rsid w:val="000668C5"/>
    <w:rsid w:val="00073581"/>
    <w:rsid w:val="00073C5E"/>
    <w:rsid w:val="000747D3"/>
    <w:rsid w:val="00074C02"/>
    <w:rsid w:val="00074DAE"/>
    <w:rsid w:val="0008042F"/>
    <w:rsid w:val="00080A06"/>
    <w:rsid w:val="00080D29"/>
    <w:rsid w:val="00081E0B"/>
    <w:rsid w:val="000820E3"/>
    <w:rsid w:val="00082741"/>
    <w:rsid w:val="0008336B"/>
    <w:rsid w:val="00084527"/>
    <w:rsid w:val="00084636"/>
    <w:rsid w:val="00084863"/>
    <w:rsid w:val="000851AA"/>
    <w:rsid w:val="000851CB"/>
    <w:rsid w:val="000857A3"/>
    <w:rsid w:val="0008595E"/>
    <w:rsid w:val="00087A59"/>
    <w:rsid w:val="00087B32"/>
    <w:rsid w:val="00091F44"/>
    <w:rsid w:val="00091F7A"/>
    <w:rsid w:val="00092081"/>
    <w:rsid w:val="00092DDC"/>
    <w:rsid w:val="00092DE3"/>
    <w:rsid w:val="0009405B"/>
    <w:rsid w:val="0009660D"/>
    <w:rsid w:val="00097CCB"/>
    <w:rsid w:val="000A15BE"/>
    <w:rsid w:val="000A2B63"/>
    <w:rsid w:val="000A3D04"/>
    <w:rsid w:val="000A4060"/>
    <w:rsid w:val="000A4CAB"/>
    <w:rsid w:val="000A56D4"/>
    <w:rsid w:val="000A6693"/>
    <w:rsid w:val="000A795C"/>
    <w:rsid w:val="000A7CBE"/>
    <w:rsid w:val="000B1E9A"/>
    <w:rsid w:val="000B1EEB"/>
    <w:rsid w:val="000B3512"/>
    <w:rsid w:val="000B4939"/>
    <w:rsid w:val="000B4C45"/>
    <w:rsid w:val="000B5169"/>
    <w:rsid w:val="000B54F2"/>
    <w:rsid w:val="000C05EC"/>
    <w:rsid w:val="000C1EAA"/>
    <w:rsid w:val="000C2027"/>
    <w:rsid w:val="000C284C"/>
    <w:rsid w:val="000C2C70"/>
    <w:rsid w:val="000C320E"/>
    <w:rsid w:val="000C3263"/>
    <w:rsid w:val="000C3DAE"/>
    <w:rsid w:val="000C7EB5"/>
    <w:rsid w:val="000D2D37"/>
    <w:rsid w:val="000D5AF7"/>
    <w:rsid w:val="000D648C"/>
    <w:rsid w:val="000D676B"/>
    <w:rsid w:val="000D77AF"/>
    <w:rsid w:val="000D7BFF"/>
    <w:rsid w:val="000E06EA"/>
    <w:rsid w:val="000E4A9D"/>
    <w:rsid w:val="000E4ACE"/>
    <w:rsid w:val="000E5853"/>
    <w:rsid w:val="000E5DC6"/>
    <w:rsid w:val="000E5EC1"/>
    <w:rsid w:val="000E74A5"/>
    <w:rsid w:val="000E79AB"/>
    <w:rsid w:val="000F068E"/>
    <w:rsid w:val="000F1975"/>
    <w:rsid w:val="0010067A"/>
    <w:rsid w:val="001014FA"/>
    <w:rsid w:val="00102880"/>
    <w:rsid w:val="001037BA"/>
    <w:rsid w:val="00106929"/>
    <w:rsid w:val="001071E8"/>
    <w:rsid w:val="00107DC5"/>
    <w:rsid w:val="00111BAA"/>
    <w:rsid w:val="00112C11"/>
    <w:rsid w:val="00112E2A"/>
    <w:rsid w:val="0011392E"/>
    <w:rsid w:val="001149C6"/>
    <w:rsid w:val="00114DCE"/>
    <w:rsid w:val="00115F06"/>
    <w:rsid w:val="0011633C"/>
    <w:rsid w:val="0011680D"/>
    <w:rsid w:val="00116FA9"/>
    <w:rsid w:val="00117BB2"/>
    <w:rsid w:val="00120754"/>
    <w:rsid w:val="00121EAA"/>
    <w:rsid w:val="00121EB9"/>
    <w:rsid w:val="001225FE"/>
    <w:rsid w:val="00122644"/>
    <w:rsid w:val="00122F84"/>
    <w:rsid w:val="001240CA"/>
    <w:rsid w:val="001242C2"/>
    <w:rsid w:val="001253A5"/>
    <w:rsid w:val="0012579D"/>
    <w:rsid w:val="00127D66"/>
    <w:rsid w:val="001303AA"/>
    <w:rsid w:val="001305B1"/>
    <w:rsid w:val="00130A42"/>
    <w:rsid w:val="001310D2"/>
    <w:rsid w:val="0013110E"/>
    <w:rsid w:val="00132D2D"/>
    <w:rsid w:val="00133AD6"/>
    <w:rsid w:val="001344E2"/>
    <w:rsid w:val="001347E6"/>
    <w:rsid w:val="00137158"/>
    <w:rsid w:val="001376D5"/>
    <w:rsid w:val="001406FF"/>
    <w:rsid w:val="00140C6C"/>
    <w:rsid w:val="001420C8"/>
    <w:rsid w:val="00142F1D"/>
    <w:rsid w:val="00143A0E"/>
    <w:rsid w:val="00143C94"/>
    <w:rsid w:val="001443E1"/>
    <w:rsid w:val="00145862"/>
    <w:rsid w:val="001501CB"/>
    <w:rsid w:val="00151B6B"/>
    <w:rsid w:val="00154482"/>
    <w:rsid w:val="0015496B"/>
    <w:rsid w:val="00155CE3"/>
    <w:rsid w:val="001562BE"/>
    <w:rsid w:val="0015760F"/>
    <w:rsid w:val="001605BC"/>
    <w:rsid w:val="00161008"/>
    <w:rsid w:val="0016189E"/>
    <w:rsid w:val="001624F8"/>
    <w:rsid w:val="00164660"/>
    <w:rsid w:val="001651DF"/>
    <w:rsid w:val="00165546"/>
    <w:rsid w:val="00165BF9"/>
    <w:rsid w:val="00165F50"/>
    <w:rsid w:val="00170158"/>
    <w:rsid w:val="0017098E"/>
    <w:rsid w:val="00170CC2"/>
    <w:rsid w:val="001726D2"/>
    <w:rsid w:val="001738B7"/>
    <w:rsid w:val="001752D9"/>
    <w:rsid w:val="00175E17"/>
    <w:rsid w:val="001763D6"/>
    <w:rsid w:val="00180ED3"/>
    <w:rsid w:val="00182318"/>
    <w:rsid w:val="00182F29"/>
    <w:rsid w:val="0018311A"/>
    <w:rsid w:val="0018365C"/>
    <w:rsid w:val="00184F4D"/>
    <w:rsid w:val="001858E1"/>
    <w:rsid w:val="00187448"/>
    <w:rsid w:val="00190436"/>
    <w:rsid w:val="00191AC7"/>
    <w:rsid w:val="00192EB7"/>
    <w:rsid w:val="00193B4A"/>
    <w:rsid w:val="0019576C"/>
    <w:rsid w:val="00195A94"/>
    <w:rsid w:val="00196385"/>
    <w:rsid w:val="001A0479"/>
    <w:rsid w:val="001A17D3"/>
    <w:rsid w:val="001A1DEF"/>
    <w:rsid w:val="001A262B"/>
    <w:rsid w:val="001A2BC3"/>
    <w:rsid w:val="001A389E"/>
    <w:rsid w:val="001A4049"/>
    <w:rsid w:val="001A515D"/>
    <w:rsid w:val="001A603C"/>
    <w:rsid w:val="001B0A91"/>
    <w:rsid w:val="001B11AE"/>
    <w:rsid w:val="001B3960"/>
    <w:rsid w:val="001B3DAF"/>
    <w:rsid w:val="001B4A0A"/>
    <w:rsid w:val="001B4EDC"/>
    <w:rsid w:val="001B5D62"/>
    <w:rsid w:val="001B647E"/>
    <w:rsid w:val="001B7C1D"/>
    <w:rsid w:val="001C069F"/>
    <w:rsid w:val="001C16A1"/>
    <w:rsid w:val="001C2473"/>
    <w:rsid w:val="001C2775"/>
    <w:rsid w:val="001C2E8A"/>
    <w:rsid w:val="001C367C"/>
    <w:rsid w:val="001C3C72"/>
    <w:rsid w:val="001C68C6"/>
    <w:rsid w:val="001C73BB"/>
    <w:rsid w:val="001D28DD"/>
    <w:rsid w:val="001D5F77"/>
    <w:rsid w:val="001E0680"/>
    <w:rsid w:val="001E3AFD"/>
    <w:rsid w:val="001E3E09"/>
    <w:rsid w:val="001E6E20"/>
    <w:rsid w:val="001E764B"/>
    <w:rsid w:val="001E7ED0"/>
    <w:rsid w:val="001F3347"/>
    <w:rsid w:val="001F3629"/>
    <w:rsid w:val="001F392C"/>
    <w:rsid w:val="001F4971"/>
    <w:rsid w:val="001F5257"/>
    <w:rsid w:val="001F5808"/>
    <w:rsid w:val="001F6EBE"/>
    <w:rsid w:val="001F7D0E"/>
    <w:rsid w:val="002004C9"/>
    <w:rsid w:val="002018CA"/>
    <w:rsid w:val="00201E25"/>
    <w:rsid w:val="00202272"/>
    <w:rsid w:val="00203EF2"/>
    <w:rsid w:val="00206B27"/>
    <w:rsid w:val="00210A53"/>
    <w:rsid w:val="00211230"/>
    <w:rsid w:val="00211770"/>
    <w:rsid w:val="00214E97"/>
    <w:rsid w:val="00217798"/>
    <w:rsid w:val="00220014"/>
    <w:rsid w:val="00220B79"/>
    <w:rsid w:val="002218D0"/>
    <w:rsid w:val="00221C62"/>
    <w:rsid w:val="0022203B"/>
    <w:rsid w:val="00222550"/>
    <w:rsid w:val="00224A9A"/>
    <w:rsid w:val="00227F9A"/>
    <w:rsid w:val="00231BCD"/>
    <w:rsid w:val="00235D28"/>
    <w:rsid w:val="00237363"/>
    <w:rsid w:val="00237D2B"/>
    <w:rsid w:val="00240F5E"/>
    <w:rsid w:val="00241F01"/>
    <w:rsid w:val="002431B0"/>
    <w:rsid w:val="00243558"/>
    <w:rsid w:val="00246544"/>
    <w:rsid w:val="0024683B"/>
    <w:rsid w:val="00247371"/>
    <w:rsid w:val="00250D1B"/>
    <w:rsid w:val="00251E39"/>
    <w:rsid w:val="00252800"/>
    <w:rsid w:val="002547A0"/>
    <w:rsid w:val="002551A5"/>
    <w:rsid w:val="00256258"/>
    <w:rsid w:val="0025717C"/>
    <w:rsid w:val="00261D08"/>
    <w:rsid w:val="00262881"/>
    <w:rsid w:val="00262B0A"/>
    <w:rsid w:val="00265C11"/>
    <w:rsid w:val="0026787C"/>
    <w:rsid w:val="00270DD5"/>
    <w:rsid w:val="00271AFA"/>
    <w:rsid w:val="002739E3"/>
    <w:rsid w:val="00275E85"/>
    <w:rsid w:val="00280FF3"/>
    <w:rsid w:val="002811C6"/>
    <w:rsid w:val="002826AB"/>
    <w:rsid w:val="0028330A"/>
    <w:rsid w:val="00283331"/>
    <w:rsid w:val="00283483"/>
    <w:rsid w:val="002837CA"/>
    <w:rsid w:val="0028388B"/>
    <w:rsid w:val="00284754"/>
    <w:rsid w:val="00285778"/>
    <w:rsid w:val="0028739C"/>
    <w:rsid w:val="0029066B"/>
    <w:rsid w:val="00290A9A"/>
    <w:rsid w:val="002927B0"/>
    <w:rsid w:val="00293336"/>
    <w:rsid w:val="00294502"/>
    <w:rsid w:val="00294B53"/>
    <w:rsid w:val="00294F28"/>
    <w:rsid w:val="00294FFC"/>
    <w:rsid w:val="00296B59"/>
    <w:rsid w:val="002A4D9A"/>
    <w:rsid w:val="002A551C"/>
    <w:rsid w:val="002A74B4"/>
    <w:rsid w:val="002B1220"/>
    <w:rsid w:val="002B146C"/>
    <w:rsid w:val="002B217B"/>
    <w:rsid w:val="002B2851"/>
    <w:rsid w:val="002B42CB"/>
    <w:rsid w:val="002B4A9E"/>
    <w:rsid w:val="002B565B"/>
    <w:rsid w:val="002B6851"/>
    <w:rsid w:val="002D0EC6"/>
    <w:rsid w:val="002D1027"/>
    <w:rsid w:val="002D12E7"/>
    <w:rsid w:val="002D1CC8"/>
    <w:rsid w:val="002D3747"/>
    <w:rsid w:val="002D3EF1"/>
    <w:rsid w:val="002D485E"/>
    <w:rsid w:val="002E0645"/>
    <w:rsid w:val="002E1579"/>
    <w:rsid w:val="002E2305"/>
    <w:rsid w:val="002E3209"/>
    <w:rsid w:val="002E4E13"/>
    <w:rsid w:val="002E5244"/>
    <w:rsid w:val="002E5E2A"/>
    <w:rsid w:val="002E6123"/>
    <w:rsid w:val="002E72BD"/>
    <w:rsid w:val="002F1872"/>
    <w:rsid w:val="002F3DC8"/>
    <w:rsid w:val="002F5383"/>
    <w:rsid w:val="002F73AA"/>
    <w:rsid w:val="00300033"/>
    <w:rsid w:val="00300110"/>
    <w:rsid w:val="003013BC"/>
    <w:rsid w:val="0030245D"/>
    <w:rsid w:val="00302B9D"/>
    <w:rsid w:val="003040D0"/>
    <w:rsid w:val="00304A1A"/>
    <w:rsid w:val="00304AE7"/>
    <w:rsid w:val="00306D89"/>
    <w:rsid w:val="00310CB2"/>
    <w:rsid w:val="003136F4"/>
    <w:rsid w:val="003139C6"/>
    <w:rsid w:val="003142F5"/>
    <w:rsid w:val="0031498B"/>
    <w:rsid w:val="00315B1D"/>
    <w:rsid w:val="0031740D"/>
    <w:rsid w:val="00320DED"/>
    <w:rsid w:val="00321084"/>
    <w:rsid w:val="00321BFA"/>
    <w:rsid w:val="00321D1F"/>
    <w:rsid w:val="00322182"/>
    <w:rsid w:val="00324260"/>
    <w:rsid w:val="00325D6C"/>
    <w:rsid w:val="00325F71"/>
    <w:rsid w:val="003268B8"/>
    <w:rsid w:val="00326A26"/>
    <w:rsid w:val="0032786E"/>
    <w:rsid w:val="003309B0"/>
    <w:rsid w:val="003318D8"/>
    <w:rsid w:val="00331DD8"/>
    <w:rsid w:val="00331F99"/>
    <w:rsid w:val="00332C92"/>
    <w:rsid w:val="003330B4"/>
    <w:rsid w:val="00333B14"/>
    <w:rsid w:val="003364B7"/>
    <w:rsid w:val="00337F53"/>
    <w:rsid w:val="00337F7F"/>
    <w:rsid w:val="00340B64"/>
    <w:rsid w:val="00343F45"/>
    <w:rsid w:val="00344A8D"/>
    <w:rsid w:val="00352D45"/>
    <w:rsid w:val="003547F0"/>
    <w:rsid w:val="00355090"/>
    <w:rsid w:val="003569BF"/>
    <w:rsid w:val="003570D0"/>
    <w:rsid w:val="00357ED9"/>
    <w:rsid w:val="00360F36"/>
    <w:rsid w:val="0036131C"/>
    <w:rsid w:val="00362151"/>
    <w:rsid w:val="00362234"/>
    <w:rsid w:val="00362E31"/>
    <w:rsid w:val="003654B2"/>
    <w:rsid w:val="00366D75"/>
    <w:rsid w:val="00367447"/>
    <w:rsid w:val="00367845"/>
    <w:rsid w:val="00367B88"/>
    <w:rsid w:val="00370295"/>
    <w:rsid w:val="00376A64"/>
    <w:rsid w:val="00376C34"/>
    <w:rsid w:val="0037783F"/>
    <w:rsid w:val="003802DF"/>
    <w:rsid w:val="0038074D"/>
    <w:rsid w:val="0038158A"/>
    <w:rsid w:val="003829CD"/>
    <w:rsid w:val="00382BD6"/>
    <w:rsid w:val="00383EAC"/>
    <w:rsid w:val="003865C0"/>
    <w:rsid w:val="00386D5E"/>
    <w:rsid w:val="0038707E"/>
    <w:rsid w:val="003903ED"/>
    <w:rsid w:val="00390802"/>
    <w:rsid w:val="00391AC5"/>
    <w:rsid w:val="003920D0"/>
    <w:rsid w:val="00394AB4"/>
    <w:rsid w:val="00394B5C"/>
    <w:rsid w:val="00394F0D"/>
    <w:rsid w:val="00395135"/>
    <w:rsid w:val="00396474"/>
    <w:rsid w:val="00396834"/>
    <w:rsid w:val="003A0B72"/>
    <w:rsid w:val="003A0E9B"/>
    <w:rsid w:val="003A3264"/>
    <w:rsid w:val="003A4326"/>
    <w:rsid w:val="003A5335"/>
    <w:rsid w:val="003A5F25"/>
    <w:rsid w:val="003B03B6"/>
    <w:rsid w:val="003B055F"/>
    <w:rsid w:val="003B3422"/>
    <w:rsid w:val="003B452F"/>
    <w:rsid w:val="003B4980"/>
    <w:rsid w:val="003B5722"/>
    <w:rsid w:val="003B6C00"/>
    <w:rsid w:val="003B74DE"/>
    <w:rsid w:val="003C0609"/>
    <w:rsid w:val="003C0BF3"/>
    <w:rsid w:val="003C0C88"/>
    <w:rsid w:val="003C2AD8"/>
    <w:rsid w:val="003C3F8D"/>
    <w:rsid w:val="003C3FA2"/>
    <w:rsid w:val="003C604C"/>
    <w:rsid w:val="003C6B1C"/>
    <w:rsid w:val="003C7279"/>
    <w:rsid w:val="003D66A2"/>
    <w:rsid w:val="003D729F"/>
    <w:rsid w:val="003D7E57"/>
    <w:rsid w:val="003E1978"/>
    <w:rsid w:val="003E1D5B"/>
    <w:rsid w:val="003E29F6"/>
    <w:rsid w:val="003E363F"/>
    <w:rsid w:val="003E494B"/>
    <w:rsid w:val="003E5287"/>
    <w:rsid w:val="003E638A"/>
    <w:rsid w:val="003E69F4"/>
    <w:rsid w:val="003E7028"/>
    <w:rsid w:val="003E7AD4"/>
    <w:rsid w:val="003E7E85"/>
    <w:rsid w:val="003F3598"/>
    <w:rsid w:val="003F3B60"/>
    <w:rsid w:val="003F3F8D"/>
    <w:rsid w:val="003F4A21"/>
    <w:rsid w:val="003F5484"/>
    <w:rsid w:val="003F74A7"/>
    <w:rsid w:val="00400B85"/>
    <w:rsid w:val="004016F8"/>
    <w:rsid w:val="00402162"/>
    <w:rsid w:val="0040225D"/>
    <w:rsid w:val="00404101"/>
    <w:rsid w:val="00404994"/>
    <w:rsid w:val="00405D73"/>
    <w:rsid w:val="004061D4"/>
    <w:rsid w:val="004071FF"/>
    <w:rsid w:val="00410060"/>
    <w:rsid w:val="0041260F"/>
    <w:rsid w:val="0041312D"/>
    <w:rsid w:val="004136A4"/>
    <w:rsid w:val="00415686"/>
    <w:rsid w:val="004167A6"/>
    <w:rsid w:val="00417A78"/>
    <w:rsid w:val="00420C0B"/>
    <w:rsid w:val="0042138D"/>
    <w:rsid w:val="00421B52"/>
    <w:rsid w:val="00422262"/>
    <w:rsid w:val="0042249B"/>
    <w:rsid w:val="00423BFD"/>
    <w:rsid w:val="00424CF8"/>
    <w:rsid w:val="00427051"/>
    <w:rsid w:val="004273F9"/>
    <w:rsid w:val="00427A71"/>
    <w:rsid w:val="004325CE"/>
    <w:rsid w:val="00433438"/>
    <w:rsid w:val="004379D1"/>
    <w:rsid w:val="00437B95"/>
    <w:rsid w:val="00437F44"/>
    <w:rsid w:val="00437F4F"/>
    <w:rsid w:val="004409B2"/>
    <w:rsid w:val="00444C3F"/>
    <w:rsid w:val="0044763C"/>
    <w:rsid w:val="00447A6A"/>
    <w:rsid w:val="004505FC"/>
    <w:rsid w:val="00450D07"/>
    <w:rsid w:val="004510F1"/>
    <w:rsid w:val="0045279D"/>
    <w:rsid w:val="00453052"/>
    <w:rsid w:val="0045495A"/>
    <w:rsid w:val="004560C0"/>
    <w:rsid w:val="004576BF"/>
    <w:rsid w:val="00457DEA"/>
    <w:rsid w:val="00460576"/>
    <w:rsid w:val="0046256D"/>
    <w:rsid w:val="004629C7"/>
    <w:rsid w:val="00462C6B"/>
    <w:rsid w:val="0046608B"/>
    <w:rsid w:val="00466AA1"/>
    <w:rsid w:val="00466F14"/>
    <w:rsid w:val="00467DF5"/>
    <w:rsid w:val="00470ECB"/>
    <w:rsid w:val="0047132C"/>
    <w:rsid w:val="00471686"/>
    <w:rsid w:val="00474D7B"/>
    <w:rsid w:val="00474F7D"/>
    <w:rsid w:val="004758FE"/>
    <w:rsid w:val="004770F6"/>
    <w:rsid w:val="00477653"/>
    <w:rsid w:val="00481708"/>
    <w:rsid w:val="00481B66"/>
    <w:rsid w:val="00481BDA"/>
    <w:rsid w:val="00483641"/>
    <w:rsid w:val="00484979"/>
    <w:rsid w:val="00484A4A"/>
    <w:rsid w:val="00486ADA"/>
    <w:rsid w:val="004920B1"/>
    <w:rsid w:val="00493D63"/>
    <w:rsid w:val="004963A0"/>
    <w:rsid w:val="00496C39"/>
    <w:rsid w:val="00496D5A"/>
    <w:rsid w:val="004972DF"/>
    <w:rsid w:val="004A26D1"/>
    <w:rsid w:val="004A302A"/>
    <w:rsid w:val="004A6996"/>
    <w:rsid w:val="004A6D7E"/>
    <w:rsid w:val="004A71F2"/>
    <w:rsid w:val="004B0542"/>
    <w:rsid w:val="004B09D0"/>
    <w:rsid w:val="004B2371"/>
    <w:rsid w:val="004B586D"/>
    <w:rsid w:val="004B677E"/>
    <w:rsid w:val="004C0949"/>
    <w:rsid w:val="004C1288"/>
    <w:rsid w:val="004C174B"/>
    <w:rsid w:val="004C3226"/>
    <w:rsid w:val="004C54C8"/>
    <w:rsid w:val="004C588D"/>
    <w:rsid w:val="004C5AA5"/>
    <w:rsid w:val="004C7B09"/>
    <w:rsid w:val="004C7DD1"/>
    <w:rsid w:val="004D008D"/>
    <w:rsid w:val="004D21C0"/>
    <w:rsid w:val="004D39BA"/>
    <w:rsid w:val="004D3DB1"/>
    <w:rsid w:val="004D4584"/>
    <w:rsid w:val="004D4715"/>
    <w:rsid w:val="004D59E6"/>
    <w:rsid w:val="004D5DA1"/>
    <w:rsid w:val="004D5FFE"/>
    <w:rsid w:val="004D6B5A"/>
    <w:rsid w:val="004E04A1"/>
    <w:rsid w:val="004E0BD5"/>
    <w:rsid w:val="004E2C2D"/>
    <w:rsid w:val="004E3452"/>
    <w:rsid w:val="004E34A4"/>
    <w:rsid w:val="004E3C07"/>
    <w:rsid w:val="004E43C4"/>
    <w:rsid w:val="004E64E4"/>
    <w:rsid w:val="004E69D5"/>
    <w:rsid w:val="004E6A6A"/>
    <w:rsid w:val="004E6AD5"/>
    <w:rsid w:val="004E7067"/>
    <w:rsid w:val="004E7339"/>
    <w:rsid w:val="004E7816"/>
    <w:rsid w:val="004F1E70"/>
    <w:rsid w:val="004F3D72"/>
    <w:rsid w:val="004F55EA"/>
    <w:rsid w:val="004F5838"/>
    <w:rsid w:val="00500E7D"/>
    <w:rsid w:val="00501180"/>
    <w:rsid w:val="005014C0"/>
    <w:rsid w:val="00501533"/>
    <w:rsid w:val="005019F0"/>
    <w:rsid w:val="0050230A"/>
    <w:rsid w:val="00502AD6"/>
    <w:rsid w:val="00503773"/>
    <w:rsid w:val="005041F9"/>
    <w:rsid w:val="00505251"/>
    <w:rsid w:val="005052F1"/>
    <w:rsid w:val="005053F5"/>
    <w:rsid w:val="00505E65"/>
    <w:rsid w:val="0051275E"/>
    <w:rsid w:val="00512EF0"/>
    <w:rsid w:val="00514290"/>
    <w:rsid w:val="00514F9B"/>
    <w:rsid w:val="00515975"/>
    <w:rsid w:val="005169D1"/>
    <w:rsid w:val="00520662"/>
    <w:rsid w:val="00521299"/>
    <w:rsid w:val="005233A7"/>
    <w:rsid w:val="0052431D"/>
    <w:rsid w:val="0052490E"/>
    <w:rsid w:val="00524C4D"/>
    <w:rsid w:val="00525657"/>
    <w:rsid w:val="005306A4"/>
    <w:rsid w:val="0053078A"/>
    <w:rsid w:val="00530D1E"/>
    <w:rsid w:val="0053105E"/>
    <w:rsid w:val="00533E7D"/>
    <w:rsid w:val="0053492A"/>
    <w:rsid w:val="0053617A"/>
    <w:rsid w:val="005368F9"/>
    <w:rsid w:val="005371F9"/>
    <w:rsid w:val="00540443"/>
    <w:rsid w:val="005414A8"/>
    <w:rsid w:val="0054224E"/>
    <w:rsid w:val="005427E8"/>
    <w:rsid w:val="00542DCE"/>
    <w:rsid w:val="00543319"/>
    <w:rsid w:val="005442BA"/>
    <w:rsid w:val="005455A7"/>
    <w:rsid w:val="00546741"/>
    <w:rsid w:val="005512C8"/>
    <w:rsid w:val="00551BD6"/>
    <w:rsid w:val="00553328"/>
    <w:rsid w:val="005559F2"/>
    <w:rsid w:val="00555ED9"/>
    <w:rsid w:val="00557963"/>
    <w:rsid w:val="00557CE4"/>
    <w:rsid w:val="00561E5B"/>
    <w:rsid w:val="00562C36"/>
    <w:rsid w:val="00565B57"/>
    <w:rsid w:val="00567948"/>
    <w:rsid w:val="0057170E"/>
    <w:rsid w:val="00571DE7"/>
    <w:rsid w:val="00571EAE"/>
    <w:rsid w:val="0057683B"/>
    <w:rsid w:val="005774CA"/>
    <w:rsid w:val="005778A2"/>
    <w:rsid w:val="00577C74"/>
    <w:rsid w:val="005801B1"/>
    <w:rsid w:val="00581683"/>
    <w:rsid w:val="0058262D"/>
    <w:rsid w:val="00583010"/>
    <w:rsid w:val="0058392F"/>
    <w:rsid w:val="00583E27"/>
    <w:rsid w:val="00583FEE"/>
    <w:rsid w:val="00587583"/>
    <w:rsid w:val="00590F0C"/>
    <w:rsid w:val="00591769"/>
    <w:rsid w:val="00591C0F"/>
    <w:rsid w:val="00591D68"/>
    <w:rsid w:val="005926A5"/>
    <w:rsid w:val="00594437"/>
    <w:rsid w:val="005949EB"/>
    <w:rsid w:val="00594CC0"/>
    <w:rsid w:val="00595B18"/>
    <w:rsid w:val="00595FB4"/>
    <w:rsid w:val="00596459"/>
    <w:rsid w:val="00596BB0"/>
    <w:rsid w:val="005A0F5A"/>
    <w:rsid w:val="005A1365"/>
    <w:rsid w:val="005A25F7"/>
    <w:rsid w:val="005A4BCC"/>
    <w:rsid w:val="005A73D7"/>
    <w:rsid w:val="005A7F70"/>
    <w:rsid w:val="005B1A18"/>
    <w:rsid w:val="005B3147"/>
    <w:rsid w:val="005B48F0"/>
    <w:rsid w:val="005B4D35"/>
    <w:rsid w:val="005B5293"/>
    <w:rsid w:val="005C0553"/>
    <w:rsid w:val="005C225A"/>
    <w:rsid w:val="005C3232"/>
    <w:rsid w:val="005C4181"/>
    <w:rsid w:val="005C594A"/>
    <w:rsid w:val="005C66A0"/>
    <w:rsid w:val="005C6A5E"/>
    <w:rsid w:val="005C7278"/>
    <w:rsid w:val="005C772C"/>
    <w:rsid w:val="005D0508"/>
    <w:rsid w:val="005D0BC4"/>
    <w:rsid w:val="005D2E32"/>
    <w:rsid w:val="005D4264"/>
    <w:rsid w:val="005D669C"/>
    <w:rsid w:val="005D6D9F"/>
    <w:rsid w:val="005D720F"/>
    <w:rsid w:val="005D7843"/>
    <w:rsid w:val="005E39C0"/>
    <w:rsid w:val="005E51AC"/>
    <w:rsid w:val="005E5C6C"/>
    <w:rsid w:val="005E6062"/>
    <w:rsid w:val="005F2511"/>
    <w:rsid w:val="005F437C"/>
    <w:rsid w:val="005F4DE9"/>
    <w:rsid w:val="005F5A7D"/>
    <w:rsid w:val="005F6146"/>
    <w:rsid w:val="00600A24"/>
    <w:rsid w:val="006015F3"/>
    <w:rsid w:val="00602E57"/>
    <w:rsid w:val="00605E20"/>
    <w:rsid w:val="00606849"/>
    <w:rsid w:val="0061070A"/>
    <w:rsid w:val="00611788"/>
    <w:rsid w:val="006132C7"/>
    <w:rsid w:val="0061392F"/>
    <w:rsid w:val="00614D1D"/>
    <w:rsid w:val="00615637"/>
    <w:rsid w:val="006201B8"/>
    <w:rsid w:val="00622711"/>
    <w:rsid w:val="00622CDF"/>
    <w:rsid w:val="00622EF3"/>
    <w:rsid w:val="00625410"/>
    <w:rsid w:val="0062561B"/>
    <w:rsid w:val="0062589B"/>
    <w:rsid w:val="00626CB7"/>
    <w:rsid w:val="00627E0F"/>
    <w:rsid w:val="00627FCD"/>
    <w:rsid w:val="0063042B"/>
    <w:rsid w:val="006315D9"/>
    <w:rsid w:val="00631790"/>
    <w:rsid w:val="00631DFE"/>
    <w:rsid w:val="006325EE"/>
    <w:rsid w:val="00633F81"/>
    <w:rsid w:val="006349CC"/>
    <w:rsid w:val="0063514A"/>
    <w:rsid w:val="00637CC4"/>
    <w:rsid w:val="00640A51"/>
    <w:rsid w:val="00644CFA"/>
    <w:rsid w:val="006459C3"/>
    <w:rsid w:val="00646487"/>
    <w:rsid w:val="0064684D"/>
    <w:rsid w:val="00646D6E"/>
    <w:rsid w:val="00647B68"/>
    <w:rsid w:val="00653887"/>
    <w:rsid w:val="00654224"/>
    <w:rsid w:val="00656AD0"/>
    <w:rsid w:val="00660B92"/>
    <w:rsid w:val="00661F88"/>
    <w:rsid w:val="006625DD"/>
    <w:rsid w:val="00662827"/>
    <w:rsid w:val="00663663"/>
    <w:rsid w:val="006654A6"/>
    <w:rsid w:val="00665B9C"/>
    <w:rsid w:val="0067195C"/>
    <w:rsid w:val="0067196A"/>
    <w:rsid w:val="00672B1E"/>
    <w:rsid w:val="00672B41"/>
    <w:rsid w:val="00676D63"/>
    <w:rsid w:val="006800E2"/>
    <w:rsid w:val="006836F3"/>
    <w:rsid w:val="0068382E"/>
    <w:rsid w:val="00685B01"/>
    <w:rsid w:val="006866CA"/>
    <w:rsid w:val="0068676B"/>
    <w:rsid w:val="00686D28"/>
    <w:rsid w:val="00687075"/>
    <w:rsid w:val="00691096"/>
    <w:rsid w:val="00691866"/>
    <w:rsid w:val="00692A3E"/>
    <w:rsid w:val="00693A57"/>
    <w:rsid w:val="00693E67"/>
    <w:rsid w:val="0069480F"/>
    <w:rsid w:val="006956E1"/>
    <w:rsid w:val="00697D6A"/>
    <w:rsid w:val="006A0A1F"/>
    <w:rsid w:val="006A1599"/>
    <w:rsid w:val="006A1B46"/>
    <w:rsid w:val="006A511C"/>
    <w:rsid w:val="006A6D47"/>
    <w:rsid w:val="006A7DE6"/>
    <w:rsid w:val="006B1758"/>
    <w:rsid w:val="006B1C4D"/>
    <w:rsid w:val="006B2598"/>
    <w:rsid w:val="006B31F0"/>
    <w:rsid w:val="006B3294"/>
    <w:rsid w:val="006B5A6A"/>
    <w:rsid w:val="006B6B08"/>
    <w:rsid w:val="006C0FD1"/>
    <w:rsid w:val="006C2907"/>
    <w:rsid w:val="006C4BAD"/>
    <w:rsid w:val="006C53A6"/>
    <w:rsid w:val="006C5CF9"/>
    <w:rsid w:val="006C7E2D"/>
    <w:rsid w:val="006D0279"/>
    <w:rsid w:val="006D111D"/>
    <w:rsid w:val="006D2844"/>
    <w:rsid w:val="006D2DAF"/>
    <w:rsid w:val="006D33BC"/>
    <w:rsid w:val="006D367E"/>
    <w:rsid w:val="006D4E41"/>
    <w:rsid w:val="006D652B"/>
    <w:rsid w:val="006D68E5"/>
    <w:rsid w:val="006D6A89"/>
    <w:rsid w:val="006E08B8"/>
    <w:rsid w:val="006E11D4"/>
    <w:rsid w:val="006E1226"/>
    <w:rsid w:val="006E36D4"/>
    <w:rsid w:val="006E465E"/>
    <w:rsid w:val="006E4661"/>
    <w:rsid w:val="006E7113"/>
    <w:rsid w:val="006E7477"/>
    <w:rsid w:val="006F0CBD"/>
    <w:rsid w:val="006F0E0E"/>
    <w:rsid w:val="006F281E"/>
    <w:rsid w:val="006F2F1A"/>
    <w:rsid w:val="006F2F31"/>
    <w:rsid w:val="006F4B76"/>
    <w:rsid w:val="006F64D2"/>
    <w:rsid w:val="006F6D69"/>
    <w:rsid w:val="006F6F06"/>
    <w:rsid w:val="006F7725"/>
    <w:rsid w:val="00701732"/>
    <w:rsid w:val="00701C86"/>
    <w:rsid w:val="007028DA"/>
    <w:rsid w:val="007029D7"/>
    <w:rsid w:val="007035EF"/>
    <w:rsid w:val="007115EB"/>
    <w:rsid w:val="007118DB"/>
    <w:rsid w:val="0071291D"/>
    <w:rsid w:val="00712C79"/>
    <w:rsid w:val="00713174"/>
    <w:rsid w:val="00714996"/>
    <w:rsid w:val="007153DE"/>
    <w:rsid w:val="007164F1"/>
    <w:rsid w:val="00717B17"/>
    <w:rsid w:val="00717CE9"/>
    <w:rsid w:val="00717D00"/>
    <w:rsid w:val="007210A9"/>
    <w:rsid w:val="00722202"/>
    <w:rsid w:val="0072223F"/>
    <w:rsid w:val="00722EBA"/>
    <w:rsid w:val="007235A4"/>
    <w:rsid w:val="007248EF"/>
    <w:rsid w:val="007254D0"/>
    <w:rsid w:val="00725A89"/>
    <w:rsid w:val="00725EF2"/>
    <w:rsid w:val="0072694C"/>
    <w:rsid w:val="00726B47"/>
    <w:rsid w:val="00727A22"/>
    <w:rsid w:val="00731577"/>
    <w:rsid w:val="00731C66"/>
    <w:rsid w:val="00732433"/>
    <w:rsid w:val="00732A0A"/>
    <w:rsid w:val="00733208"/>
    <w:rsid w:val="00733E49"/>
    <w:rsid w:val="00734E7E"/>
    <w:rsid w:val="007358E5"/>
    <w:rsid w:val="00735B18"/>
    <w:rsid w:val="00736CE5"/>
    <w:rsid w:val="007377FF"/>
    <w:rsid w:val="00740092"/>
    <w:rsid w:val="007426F1"/>
    <w:rsid w:val="00745407"/>
    <w:rsid w:val="00746790"/>
    <w:rsid w:val="0075050D"/>
    <w:rsid w:val="00753573"/>
    <w:rsid w:val="00753580"/>
    <w:rsid w:val="007565BF"/>
    <w:rsid w:val="0075685C"/>
    <w:rsid w:val="00760D2B"/>
    <w:rsid w:val="00762342"/>
    <w:rsid w:val="007626D0"/>
    <w:rsid w:val="00762701"/>
    <w:rsid w:val="00762852"/>
    <w:rsid w:val="00762B7E"/>
    <w:rsid w:val="0076480C"/>
    <w:rsid w:val="00766A14"/>
    <w:rsid w:val="007679B9"/>
    <w:rsid w:val="00772980"/>
    <w:rsid w:val="00774FA2"/>
    <w:rsid w:val="007775D4"/>
    <w:rsid w:val="00777EF6"/>
    <w:rsid w:val="00780CAB"/>
    <w:rsid w:val="00781035"/>
    <w:rsid w:val="007816A5"/>
    <w:rsid w:val="00781729"/>
    <w:rsid w:val="00781A4D"/>
    <w:rsid w:val="007823A9"/>
    <w:rsid w:val="00784189"/>
    <w:rsid w:val="00785588"/>
    <w:rsid w:val="00786899"/>
    <w:rsid w:val="007870EA"/>
    <w:rsid w:val="00790181"/>
    <w:rsid w:val="0079062E"/>
    <w:rsid w:val="00790908"/>
    <w:rsid w:val="00790F57"/>
    <w:rsid w:val="007910E8"/>
    <w:rsid w:val="007929B0"/>
    <w:rsid w:val="00795368"/>
    <w:rsid w:val="00796245"/>
    <w:rsid w:val="007968B0"/>
    <w:rsid w:val="0079771C"/>
    <w:rsid w:val="00797C1A"/>
    <w:rsid w:val="007A0324"/>
    <w:rsid w:val="007A0FA1"/>
    <w:rsid w:val="007A1337"/>
    <w:rsid w:val="007A28B9"/>
    <w:rsid w:val="007A3ED0"/>
    <w:rsid w:val="007A4AA7"/>
    <w:rsid w:val="007A728B"/>
    <w:rsid w:val="007B05B1"/>
    <w:rsid w:val="007B0654"/>
    <w:rsid w:val="007B6CE8"/>
    <w:rsid w:val="007C00C2"/>
    <w:rsid w:val="007C1887"/>
    <w:rsid w:val="007C21BC"/>
    <w:rsid w:val="007C426F"/>
    <w:rsid w:val="007C5D94"/>
    <w:rsid w:val="007C5F5A"/>
    <w:rsid w:val="007C60FC"/>
    <w:rsid w:val="007D0307"/>
    <w:rsid w:val="007D2E41"/>
    <w:rsid w:val="007D2FA6"/>
    <w:rsid w:val="007D6978"/>
    <w:rsid w:val="007E1612"/>
    <w:rsid w:val="007E223E"/>
    <w:rsid w:val="007E2557"/>
    <w:rsid w:val="007E3311"/>
    <w:rsid w:val="007E68EA"/>
    <w:rsid w:val="007E7575"/>
    <w:rsid w:val="007E7FF0"/>
    <w:rsid w:val="007F0126"/>
    <w:rsid w:val="007F1850"/>
    <w:rsid w:val="007F28EC"/>
    <w:rsid w:val="007F2ACE"/>
    <w:rsid w:val="007F3125"/>
    <w:rsid w:val="007F40AE"/>
    <w:rsid w:val="007F4D0D"/>
    <w:rsid w:val="007F5F85"/>
    <w:rsid w:val="007F6576"/>
    <w:rsid w:val="007F65BD"/>
    <w:rsid w:val="007F7CE0"/>
    <w:rsid w:val="00802BEC"/>
    <w:rsid w:val="0080371A"/>
    <w:rsid w:val="00803923"/>
    <w:rsid w:val="00805F8E"/>
    <w:rsid w:val="008066CF"/>
    <w:rsid w:val="00806EDA"/>
    <w:rsid w:val="008072D2"/>
    <w:rsid w:val="00810308"/>
    <w:rsid w:val="00810B8A"/>
    <w:rsid w:val="00810DA4"/>
    <w:rsid w:val="008110F8"/>
    <w:rsid w:val="0081270C"/>
    <w:rsid w:val="0081271C"/>
    <w:rsid w:val="0081578C"/>
    <w:rsid w:val="008164B5"/>
    <w:rsid w:val="0081732E"/>
    <w:rsid w:val="008176B6"/>
    <w:rsid w:val="00820F62"/>
    <w:rsid w:val="00822024"/>
    <w:rsid w:val="0082394C"/>
    <w:rsid w:val="008243D2"/>
    <w:rsid w:val="008248BB"/>
    <w:rsid w:val="008278EC"/>
    <w:rsid w:val="00827979"/>
    <w:rsid w:val="00827A2D"/>
    <w:rsid w:val="00827E39"/>
    <w:rsid w:val="00827EBF"/>
    <w:rsid w:val="0083033B"/>
    <w:rsid w:val="00831124"/>
    <w:rsid w:val="00831C16"/>
    <w:rsid w:val="0083377C"/>
    <w:rsid w:val="00837043"/>
    <w:rsid w:val="00840152"/>
    <w:rsid w:val="00840BB0"/>
    <w:rsid w:val="008412C2"/>
    <w:rsid w:val="00841437"/>
    <w:rsid w:val="0084383D"/>
    <w:rsid w:val="0084446A"/>
    <w:rsid w:val="0084608E"/>
    <w:rsid w:val="00846258"/>
    <w:rsid w:val="008468B2"/>
    <w:rsid w:val="00850777"/>
    <w:rsid w:val="008518E9"/>
    <w:rsid w:val="00852726"/>
    <w:rsid w:val="008534F7"/>
    <w:rsid w:val="0085518E"/>
    <w:rsid w:val="00864D50"/>
    <w:rsid w:val="00866762"/>
    <w:rsid w:val="00870598"/>
    <w:rsid w:val="00871295"/>
    <w:rsid w:val="008722ED"/>
    <w:rsid w:val="0087429C"/>
    <w:rsid w:val="0087480D"/>
    <w:rsid w:val="00874ACE"/>
    <w:rsid w:val="00875CBF"/>
    <w:rsid w:val="00876FEA"/>
    <w:rsid w:val="008777C6"/>
    <w:rsid w:val="00877992"/>
    <w:rsid w:val="00877AAD"/>
    <w:rsid w:val="00880CC2"/>
    <w:rsid w:val="0088180B"/>
    <w:rsid w:val="008818E2"/>
    <w:rsid w:val="00881D07"/>
    <w:rsid w:val="008829F9"/>
    <w:rsid w:val="00882B67"/>
    <w:rsid w:val="00886E16"/>
    <w:rsid w:val="008874F0"/>
    <w:rsid w:val="00887B95"/>
    <w:rsid w:val="00890794"/>
    <w:rsid w:val="00891509"/>
    <w:rsid w:val="008915A2"/>
    <w:rsid w:val="00892A10"/>
    <w:rsid w:val="00892F70"/>
    <w:rsid w:val="00895151"/>
    <w:rsid w:val="00896B24"/>
    <w:rsid w:val="00896BAA"/>
    <w:rsid w:val="00897112"/>
    <w:rsid w:val="00897FEF"/>
    <w:rsid w:val="008A3FB0"/>
    <w:rsid w:val="008A6203"/>
    <w:rsid w:val="008A6540"/>
    <w:rsid w:val="008A7FCC"/>
    <w:rsid w:val="008B06AF"/>
    <w:rsid w:val="008B1078"/>
    <w:rsid w:val="008B15B7"/>
    <w:rsid w:val="008B3070"/>
    <w:rsid w:val="008B32DB"/>
    <w:rsid w:val="008B3E9F"/>
    <w:rsid w:val="008B6D66"/>
    <w:rsid w:val="008B7276"/>
    <w:rsid w:val="008C0327"/>
    <w:rsid w:val="008C11E7"/>
    <w:rsid w:val="008C1604"/>
    <w:rsid w:val="008C1C24"/>
    <w:rsid w:val="008C2944"/>
    <w:rsid w:val="008C3B9B"/>
    <w:rsid w:val="008C3F01"/>
    <w:rsid w:val="008C406F"/>
    <w:rsid w:val="008C55A0"/>
    <w:rsid w:val="008C7455"/>
    <w:rsid w:val="008D0549"/>
    <w:rsid w:val="008D0E0C"/>
    <w:rsid w:val="008D17FB"/>
    <w:rsid w:val="008D1EC0"/>
    <w:rsid w:val="008D24DA"/>
    <w:rsid w:val="008D3EF1"/>
    <w:rsid w:val="008D4298"/>
    <w:rsid w:val="008D4C7B"/>
    <w:rsid w:val="008D5003"/>
    <w:rsid w:val="008D52C2"/>
    <w:rsid w:val="008D5C03"/>
    <w:rsid w:val="008D623B"/>
    <w:rsid w:val="008D6BDE"/>
    <w:rsid w:val="008E0448"/>
    <w:rsid w:val="008E0F76"/>
    <w:rsid w:val="008E1A54"/>
    <w:rsid w:val="008E23A5"/>
    <w:rsid w:val="008E249D"/>
    <w:rsid w:val="008E378F"/>
    <w:rsid w:val="008E3ACA"/>
    <w:rsid w:val="008E4291"/>
    <w:rsid w:val="008E43D9"/>
    <w:rsid w:val="008E4B34"/>
    <w:rsid w:val="008E5698"/>
    <w:rsid w:val="008E6051"/>
    <w:rsid w:val="008E69C1"/>
    <w:rsid w:val="008F00FE"/>
    <w:rsid w:val="008F1409"/>
    <w:rsid w:val="008F2FF5"/>
    <w:rsid w:val="008F30E3"/>
    <w:rsid w:val="008F45E7"/>
    <w:rsid w:val="008F5CD0"/>
    <w:rsid w:val="008F5FC7"/>
    <w:rsid w:val="008F6066"/>
    <w:rsid w:val="008F6EDC"/>
    <w:rsid w:val="00900BB0"/>
    <w:rsid w:val="009014E4"/>
    <w:rsid w:val="00901CB0"/>
    <w:rsid w:val="00901EB5"/>
    <w:rsid w:val="00902F4E"/>
    <w:rsid w:val="0090335B"/>
    <w:rsid w:val="00903A9E"/>
    <w:rsid w:val="009062DE"/>
    <w:rsid w:val="00906F01"/>
    <w:rsid w:val="0091097B"/>
    <w:rsid w:val="009132B2"/>
    <w:rsid w:val="0091394D"/>
    <w:rsid w:val="00914638"/>
    <w:rsid w:val="00914EF1"/>
    <w:rsid w:val="009150DA"/>
    <w:rsid w:val="00915920"/>
    <w:rsid w:val="00916633"/>
    <w:rsid w:val="00916921"/>
    <w:rsid w:val="0091716B"/>
    <w:rsid w:val="00917619"/>
    <w:rsid w:val="00920B49"/>
    <w:rsid w:val="00923234"/>
    <w:rsid w:val="009244F9"/>
    <w:rsid w:val="0092473C"/>
    <w:rsid w:val="009251AA"/>
    <w:rsid w:val="00925C30"/>
    <w:rsid w:val="00926122"/>
    <w:rsid w:val="00927232"/>
    <w:rsid w:val="009308DE"/>
    <w:rsid w:val="0093096A"/>
    <w:rsid w:val="00930FA9"/>
    <w:rsid w:val="009311AC"/>
    <w:rsid w:val="00931EBE"/>
    <w:rsid w:val="00935B89"/>
    <w:rsid w:val="009402F4"/>
    <w:rsid w:val="009424C3"/>
    <w:rsid w:val="009432D2"/>
    <w:rsid w:val="0094339C"/>
    <w:rsid w:val="00943BD9"/>
    <w:rsid w:val="00943FA1"/>
    <w:rsid w:val="00945E99"/>
    <w:rsid w:val="009467B7"/>
    <w:rsid w:val="00951EA7"/>
    <w:rsid w:val="009552F3"/>
    <w:rsid w:val="009605FB"/>
    <w:rsid w:val="00960FD8"/>
    <w:rsid w:val="009610D6"/>
    <w:rsid w:val="009625CC"/>
    <w:rsid w:val="00963AC7"/>
    <w:rsid w:val="00964506"/>
    <w:rsid w:val="00966667"/>
    <w:rsid w:val="00970DED"/>
    <w:rsid w:val="00972BF4"/>
    <w:rsid w:val="00973439"/>
    <w:rsid w:val="00973627"/>
    <w:rsid w:val="0097462A"/>
    <w:rsid w:val="00975BE5"/>
    <w:rsid w:val="00976059"/>
    <w:rsid w:val="009761D9"/>
    <w:rsid w:val="00976BD5"/>
    <w:rsid w:val="00976CC1"/>
    <w:rsid w:val="009809ED"/>
    <w:rsid w:val="00980A37"/>
    <w:rsid w:val="0098183E"/>
    <w:rsid w:val="00982967"/>
    <w:rsid w:val="00983E74"/>
    <w:rsid w:val="00985CC9"/>
    <w:rsid w:val="00985D57"/>
    <w:rsid w:val="00986DE5"/>
    <w:rsid w:val="00986E9F"/>
    <w:rsid w:val="00986F29"/>
    <w:rsid w:val="0099076E"/>
    <w:rsid w:val="00990BF3"/>
    <w:rsid w:val="00993B99"/>
    <w:rsid w:val="009A1B5A"/>
    <w:rsid w:val="009A3FEB"/>
    <w:rsid w:val="009A4586"/>
    <w:rsid w:val="009A4EA6"/>
    <w:rsid w:val="009A57DE"/>
    <w:rsid w:val="009A756C"/>
    <w:rsid w:val="009B0615"/>
    <w:rsid w:val="009B3873"/>
    <w:rsid w:val="009B39BE"/>
    <w:rsid w:val="009B6532"/>
    <w:rsid w:val="009B6A30"/>
    <w:rsid w:val="009C0D4D"/>
    <w:rsid w:val="009C0EF0"/>
    <w:rsid w:val="009C1188"/>
    <w:rsid w:val="009C2BC6"/>
    <w:rsid w:val="009C3150"/>
    <w:rsid w:val="009C6AEB"/>
    <w:rsid w:val="009D0518"/>
    <w:rsid w:val="009D2912"/>
    <w:rsid w:val="009D445C"/>
    <w:rsid w:val="009D5F85"/>
    <w:rsid w:val="009D6BE2"/>
    <w:rsid w:val="009D6E8C"/>
    <w:rsid w:val="009D7644"/>
    <w:rsid w:val="009D7891"/>
    <w:rsid w:val="009E0B0F"/>
    <w:rsid w:val="009E3D28"/>
    <w:rsid w:val="009E3F56"/>
    <w:rsid w:val="009E485D"/>
    <w:rsid w:val="009E5FDA"/>
    <w:rsid w:val="009E609D"/>
    <w:rsid w:val="009E6618"/>
    <w:rsid w:val="009E701F"/>
    <w:rsid w:val="009E7ECA"/>
    <w:rsid w:val="009F10C6"/>
    <w:rsid w:val="009F29D2"/>
    <w:rsid w:val="009F3572"/>
    <w:rsid w:val="009F394D"/>
    <w:rsid w:val="009F4702"/>
    <w:rsid w:val="009F51C0"/>
    <w:rsid w:val="009F5555"/>
    <w:rsid w:val="009F6A18"/>
    <w:rsid w:val="00A01422"/>
    <w:rsid w:val="00A015EA"/>
    <w:rsid w:val="00A01735"/>
    <w:rsid w:val="00A0178D"/>
    <w:rsid w:val="00A027D2"/>
    <w:rsid w:val="00A02836"/>
    <w:rsid w:val="00A0338A"/>
    <w:rsid w:val="00A05D04"/>
    <w:rsid w:val="00A06383"/>
    <w:rsid w:val="00A1195F"/>
    <w:rsid w:val="00A12D3B"/>
    <w:rsid w:val="00A13C29"/>
    <w:rsid w:val="00A14C35"/>
    <w:rsid w:val="00A15475"/>
    <w:rsid w:val="00A16A3C"/>
    <w:rsid w:val="00A16CA6"/>
    <w:rsid w:val="00A16D70"/>
    <w:rsid w:val="00A177A3"/>
    <w:rsid w:val="00A223EA"/>
    <w:rsid w:val="00A23111"/>
    <w:rsid w:val="00A23990"/>
    <w:rsid w:val="00A23AD7"/>
    <w:rsid w:val="00A25EFC"/>
    <w:rsid w:val="00A30395"/>
    <w:rsid w:val="00A32B0D"/>
    <w:rsid w:val="00A339C5"/>
    <w:rsid w:val="00A353D2"/>
    <w:rsid w:val="00A37B71"/>
    <w:rsid w:val="00A37BD8"/>
    <w:rsid w:val="00A40D2C"/>
    <w:rsid w:val="00A42A3D"/>
    <w:rsid w:val="00A42EEF"/>
    <w:rsid w:val="00A431DF"/>
    <w:rsid w:val="00A43866"/>
    <w:rsid w:val="00A43DA1"/>
    <w:rsid w:val="00A43F2C"/>
    <w:rsid w:val="00A4414A"/>
    <w:rsid w:val="00A44CCC"/>
    <w:rsid w:val="00A476F5"/>
    <w:rsid w:val="00A47965"/>
    <w:rsid w:val="00A508C4"/>
    <w:rsid w:val="00A51BEF"/>
    <w:rsid w:val="00A53757"/>
    <w:rsid w:val="00A55B49"/>
    <w:rsid w:val="00A63DA5"/>
    <w:rsid w:val="00A64CC8"/>
    <w:rsid w:val="00A64F90"/>
    <w:rsid w:val="00A655C6"/>
    <w:rsid w:val="00A67C4A"/>
    <w:rsid w:val="00A70A0A"/>
    <w:rsid w:val="00A7119F"/>
    <w:rsid w:val="00A713E5"/>
    <w:rsid w:val="00A723D6"/>
    <w:rsid w:val="00A740B2"/>
    <w:rsid w:val="00A75470"/>
    <w:rsid w:val="00A827DA"/>
    <w:rsid w:val="00A84031"/>
    <w:rsid w:val="00A844BB"/>
    <w:rsid w:val="00A8467C"/>
    <w:rsid w:val="00A85FC7"/>
    <w:rsid w:val="00A86881"/>
    <w:rsid w:val="00A87515"/>
    <w:rsid w:val="00A87956"/>
    <w:rsid w:val="00A90D79"/>
    <w:rsid w:val="00A92F1E"/>
    <w:rsid w:val="00A93859"/>
    <w:rsid w:val="00A94087"/>
    <w:rsid w:val="00A949D2"/>
    <w:rsid w:val="00A95A19"/>
    <w:rsid w:val="00A97FEC"/>
    <w:rsid w:val="00AA0B1F"/>
    <w:rsid w:val="00AA1004"/>
    <w:rsid w:val="00AA1D7C"/>
    <w:rsid w:val="00AA2408"/>
    <w:rsid w:val="00AA3B6D"/>
    <w:rsid w:val="00AA5D5B"/>
    <w:rsid w:val="00AA6322"/>
    <w:rsid w:val="00AA6C8A"/>
    <w:rsid w:val="00AA73D6"/>
    <w:rsid w:val="00AA785F"/>
    <w:rsid w:val="00AB0918"/>
    <w:rsid w:val="00AB0CEF"/>
    <w:rsid w:val="00AB0FE2"/>
    <w:rsid w:val="00AB1878"/>
    <w:rsid w:val="00AB23D6"/>
    <w:rsid w:val="00AB31E4"/>
    <w:rsid w:val="00AB356E"/>
    <w:rsid w:val="00AB37E4"/>
    <w:rsid w:val="00AB3C44"/>
    <w:rsid w:val="00AB4832"/>
    <w:rsid w:val="00AB5065"/>
    <w:rsid w:val="00AB5710"/>
    <w:rsid w:val="00AB5E48"/>
    <w:rsid w:val="00AB7BD0"/>
    <w:rsid w:val="00AC32EC"/>
    <w:rsid w:val="00AC346A"/>
    <w:rsid w:val="00AC3670"/>
    <w:rsid w:val="00AC3BC6"/>
    <w:rsid w:val="00AC4ACA"/>
    <w:rsid w:val="00AC61EF"/>
    <w:rsid w:val="00AC6B25"/>
    <w:rsid w:val="00AC7CC4"/>
    <w:rsid w:val="00AD0929"/>
    <w:rsid w:val="00AD13CC"/>
    <w:rsid w:val="00AD3B4A"/>
    <w:rsid w:val="00AD43A3"/>
    <w:rsid w:val="00AD504E"/>
    <w:rsid w:val="00AD5CD0"/>
    <w:rsid w:val="00AD6DA4"/>
    <w:rsid w:val="00AD6FFC"/>
    <w:rsid w:val="00AE00A2"/>
    <w:rsid w:val="00AE0659"/>
    <w:rsid w:val="00AE1541"/>
    <w:rsid w:val="00AE17F8"/>
    <w:rsid w:val="00AE1CEB"/>
    <w:rsid w:val="00AE2823"/>
    <w:rsid w:val="00AE34E4"/>
    <w:rsid w:val="00AE3534"/>
    <w:rsid w:val="00AE46D1"/>
    <w:rsid w:val="00AE5674"/>
    <w:rsid w:val="00AE6E92"/>
    <w:rsid w:val="00AE7A10"/>
    <w:rsid w:val="00AF0044"/>
    <w:rsid w:val="00AF0900"/>
    <w:rsid w:val="00AF11A3"/>
    <w:rsid w:val="00AF20AC"/>
    <w:rsid w:val="00AF292A"/>
    <w:rsid w:val="00AF2A03"/>
    <w:rsid w:val="00AF2CBF"/>
    <w:rsid w:val="00AF352D"/>
    <w:rsid w:val="00AF457F"/>
    <w:rsid w:val="00AF46BA"/>
    <w:rsid w:val="00AF514A"/>
    <w:rsid w:val="00AF5EE3"/>
    <w:rsid w:val="00AF6401"/>
    <w:rsid w:val="00AF6736"/>
    <w:rsid w:val="00B019BF"/>
    <w:rsid w:val="00B0308E"/>
    <w:rsid w:val="00B035F5"/>
    <w:rsid w:val="00B03CA8"/>
    <w:rsid w:val="00B03D59"/>
    <w:rsid w:val="00B05576"/>
    <w:rsid w:val="00B069B9"/>
    <w:rsid w:val="00B06D40"/>
    <w:rsid w:val="00B0705E"/>
    <w:rsid w:val="00B0792C"/>
    <w:rsid w:val="00B106F9"/>
    <w:rsid w:val="00B1073D"/>
    <w:rsid w:val="00B10D74"/>
    <w:rsid w:val="00B11A4B"/>
    <w:rsid w:val="00B14FEC"/>
    <w:rsid w:val="00B1569C"/>
    <w:rsid w:val="00B15CF7"/>
    <w:rsid w:val="00B175C6"/>
    <w:rsid w:val="00B208BD"/>
    <w:rsid w:val="00B2188D"/>
    <w:rsid w:val="00B22536"/>
    <w:rsid w:val="00B2301D"/>
    <w:rsid w:val="00B2561E"/>
    <w:rsid w:val="00B25FA9"/>
    <w:rsid w:val="00B26789"/>
    <w:rsid w:val="00B306BE"/>
    <w:rsid w:val="00B30D1C"/>
    <w:rsid w:val="00B3293A"/>
    <w:rsid w:val="00B33742"/>
    <w:rsid w:val="00B35677"/>
    <w:rsid w:val="00B3638E"/>
    <w:rsid w:val="00B376FF"/>
    <w:rsid w:val="00B378B7"/>
    <w:rsid w:val="00B40372"/>
    <w:rsid w:val="00B4154F"/>
    <w:rsid w:val="00B418E5"/>
    <w:rsid w:val="00B43F44"/>
    <w:rsid w:val="00B44040"/>
    <w:rsid w:val="00B452DF"/>
    <w:rsid w:val="00B46479"/>
    <w:rsid w:val="00B46939"/>
    <w:rsid w:val="00B46FA9"/>
    <w:rsid w:val="00B47EEA"/>
    <w:rsid w:val="00B5031E"/>
    <w:rsid w:val="00B524E1"/>
    <w:rsid w:val="00B569CE"/>
    <w:rsid w:val="00B56B3E"/>
    <w:rsid w:val="00B604BD"/>
    <w:rsid w:val="00B606BE"/>
    <w:rsid w:val="00B620A2"/>
    <w:rsid w:val="00B62FE8"/>
    <w:rsid w:val="00B658E8"/>
    <w:rsid w:val="00B660AC"/>
    <w:rsid w:val="00B74C00"/>
    <w:rsid w:val="00B75D7A"/>
    <w:rsid w:val="00B767AF"/>
    <w:rsid w:val="00B7730E"/>
    <w:rsid w:val="00B818C3"/>
    <w:rsid w:val="00B849E7"/>
    <w:rsid w:val="00B84C3C"/>
    <w:rsid w:val="00B84CFB"/>
    <w:rsid w:val="00B854CB"/>
    <w:rsid w:val="00B86FC1"/>
    <w:rsid w:val="00B87492"/>
    <w:rsid w:val="00B909A3"/>
    <w:rsid w:val="00B90BAD"/>
    <w:rsid w:val="00B93E65"/>
    <w:rsid w:val="00B94A00"/>
    <w:rsid w:val="00B96B44"/>
    <w:rsid w:val="00B96BEE"/>
    <w:rsid w:val="00B97C5F"/>
    <w:rsid w:val="00BA1A3E"/>
    <w:rsid w:val="00BA3436"/>
    <w:rsid w:val="00BA4378"/>
    <w:rsid w:val="00BA541E"/>
    <w:rsid w:val="00BA5EC8"/>
    <w:rsid w:val="00BA5F1B"/>
    <w:rsid w:val="00BA6F1C"/>
    <w:rsid w:val="00BA79D0"/>
    <w:rsid w:val="00BB03EB"/>
    <w:rsid w:val="00BB2CD4"/>
    <w:rsid w:val="00BB4A36"/>
    <w:rsid w:val="00BB76B9"/>
    <w:rsid w:val="00BC1866"/>
    <w:rsid w:val="00BC2550"/>
    <w:rsid w:val="00BC29FB"/>
    <w:rsid w:val="00BC2A15"/>
    <w:rsid w:val="00BC3411"/>
    <w:rsid w:val="00BC42A6"/>
    <w:rsid w:val="00BC5615"/>
    <w:rsid w:val="00BC66DC"/>
    <w:rsid w:val="00BC7393"/>
    <w:rsid w:val="00BD11F2"/>
    <w:rsid w:val="00BD2BAD"/>
    <w:rsid w:val="00BD2C9F"/>
    <w:rsid w:val="00BD30F8"/>
    <w:rsid w:val="00BD3771"/>
    <w:rsid w:val="00BD4134"/>
    <w:rsid w:val="00BD6108"/>
    <w:rsid w:val="00BE0141"/>
    <w:rsid w:val="00BE028B"/>
    <w:rsid w:val="00BE1B34"/>
    <w:rsid w:val="00BE2C44"/>
    <w:rsid w:val="00BE538E"/>
    <w:rsid w:val="00BE58DA"/>
    <w:rsid w:val="00BE6B5D"/>
    <w:rsid w:val="00BE6BC7"/>
    <w:rsid w:val="00BE751C"/>
    <w:rsid w:val="00BF00AC"/>
    <w:rsid w:val="00BF0CFF"/>
    <w:rsid w:val="00BF0E91"/>
    <w:rsid w:val="00BF2850"/>
    <w:rsid w:val="00BF2AA7"/>
    <w:rsid w:val="00BF2D42"/>
    <w:rsid w:val="00BF4224"/>
    <w:rsid w:val="00BF54C8"/>
    <w:rsid w:val="00BF615D"/>
    <w:rsid w:val="00C00911"/>
    <w:rsid w:val="00C01EA0"/>
    <w:rsid w:val="00C02476"/>
    <w:rsid w:val="00C04F79"/>
    <w:rsid w:val="00C05F14"/>
    <w:rsid w:val="00C06BA9"/>
    <w:rsid w:val="00C1060B"/>
    <w:rsid w:val="00C13433"/>
    <w:rsid w:val="00C14ADF"/>
    <w:rsid w:val="00C17318"/>
    <w:rsid w:val="00C22AFC"/>
    <w:rsid w:val="00C22FF5"/>
    <w:rsid w:val="00C23194"/>
    <w:rsid w:val="00C250A2"/>
    <w:rsid w:val="00C253ED"/>
    <w:rsid w:val="00C25782"/>
    <w:rsid w:val="00C26A89"/>
    <w:rsid w:val="00C27330"/>
    <w:rsid w:val="00C27CCE"/>
    <w:rsid w:val="00C31369"/>
    <w:rsid w:val="00C31E57"/>
    <w:rsid w:val="00C346A2"/>
    <w:rsid w:val="00C357D9"/>
    <w:rsid w:val="00C36752"/>
    <w:rsid w:val="00C368E1"/>
    <w:rsid w:val="00C37266"/>
    <w:rsid w:val="00C37521"/>
    <w:rsid w:val="00C3774E"/>
    <w:rsid w:val="00C407A4"/>
    <w:rsid w:val="00C47B94"/>
    <w:rsid w:val="00C51996"/>
    <w:rsid w:val="00C5276A"/>
    <w:rsid w:val="00C552F7"/>
    <w:rsid w:val="00C5791D"/>
    <w:rsid w:val="00C6060A"/>
    <w:rsid w:val="00C6221A"/>
    <w:rsid w:val="00C64402"/>
    <w:rsid w:val="00C66083"/>
    <w:rsid w:val="00C6613C"/>
    <w:rsid w:val="00C70AEB"/>
    <w:rsid w:val="00C71791"/>
    <w:rsid w:val="00C71901"/>
    <w:rsid w:val="00C72F3F"/>
    <w:rsid w:val="00C739AD"/>
    <w:rsid w:val="00C74CEB"/>
    <w:rsid w:val="00C74FEA"/>
    <w:rsid w:val="00C75B91"/>
    <w:rsid w:val="00C8058E"/>
    <w:rsid w:val="00C8106D"/>
    <w:rsid w:val="00C83617"/>
    <w:rsid w:val="00C836C2"/>
    <w:rsid w:val="00C84FB9"/>
    <w:rsid w:val="00C9018B"/>
    <w:rsid w:val="00C906A2"/>
    <w:rsid w:val="00C92081"/>
    <w:rsid w:val="00C9255D"/>
    <w:rsid w:val="00C92DF6"/>
    <w:rsid w:val="00C93558"/>
    <w:rsid w:val="00C937CF"/>
    <w:rsid w:val="00C943CD"/>
    <w:rsid w:val="00C9591F"/>
    <w:rsid w:val="00C96163"/>
    <w:rsid w:val="00C96871"/>
    <w:rsid w:val="00C972B2"/>
    <w:rsid w:val="00C97750"/>
    <w:rsid w:val="00C97BCB"/>
    <w:rsid w:val="00CA07AC"/>
    <w:rsid w:val="00CA279C"/>
    <w:rsid w:val="00CA2A39"/>
    <w:rsid w:val="00CA40F9"/>
    <w:rsid w:val="00CA5A34"/>
    <w:rsid w:val="00CA78B3"/>
    <w:rsid w:val="00CB1476"/>
    <w:rsid w:val="00CB4739"/>
    <w:rsid w:val="00CB52DE"/>
    <w:rsid w:val="00CB5E90"/>
    <w:rsid w:val="00CB75D4"/>
    <w:rsid w:val="00CC18BE"/>
    <w:rsid w:val="00CC20F2"/>
    <w:rsid w:val="00CC2C9A"/>
    <w:rsid w:val="00CC2DBB"/>
    <w:rsid w:val="00CC6FB3"/>
    <w:rsid w:val="00CC7714"/>
    <w:rsid w:val="00CD00D7"/>
    <w:rsid w:val="00CD0F0A"/>
    <w:rsid w:val="00CD1330"/>
    <w:rsid w:val="00CD1552"/>
    <w:rsid w:val="00CD184C"/>
    <w:rsid w:val="00CD1F35"/>
    <w:rsid w:val="00CD7301"/>
    <w:rsid w:val="00CE0CC3"/>
    <w:rsid w:val="00CE25DD"/>
    <w:rsid w:val="00CE3941"/>
    <w:rsid w:val="00CE3E17"/>
    <w:rsid w:val="00CE4D6F"/>
    <w:rsid w:val="00CE589E"/>
    <w:rsid w:val="00CE7299"/>
    <w:rsid w:val="00CE7582"/>
    <w:rsid w:val="00CE77FD"/>
    <w:rsid w:val="00CE79C6"/>
    <w:rsid w:val="00CF09F7"/>
    <w:rsid w:val="00CF62DE"/>
    <w:rsid w:val="00CF664F"/>
    <w:rsid w:val="00CF680E"/>
    <w:rsid w:val="00CF7817"/>
    <w:rsid w:val="00CF78EE"/>
    <w:rsid w:val="00D00DCF"/>
    <w:rsid w:val="00D018AD"/>
    <w:rsid w:val="00D02134"/>
    <w:rsid w:val="00D03CDD"/>
    <w:rsid w:val="00D04417"/>
    <w:rsid w:val="00D04DCB"/>
    <w:rsid w:val="00D065C4"/>
    <w:rsid w:val="00D069B3"/>
    <w:rsid w:val="00D10E58"/>
    <w:rsid w:val="00D120B2"/>
    <w:rsid w:val="00D12381"/>
    <w:rsid w:val="00D1311D"/>
    <w:rsid w:val="00D13480"/>
    <w:rsid w:val="00D14CAA"/>
    <w:rsid w:val="00D15B38"/>
    <w:rsid w:val="00D15E58"/>
    <w:rsid w:val="00D16993"/>
    <w:rsid w:val="00D16A17"/>
    <w:rsid w:val="00D20E92"/>
    <w:rsid w:val="00D21B73"/>
    <w:rsid w:val="00D231F6"/>
    <w:rsid w:val="00D2377A"/>
    <w:rsid w:val="00D237DE"/>
    <w:rsid w:val="00D2507C"/>
    <w:rsid w:val="00D252CA"/>
    <w:rsid w:val="00D255DB"/>
    <w:rsid w:val="00D26211"/>
    <w:rsid w:val="00D263AC"/>
    <w:rsid w:val="00D30BA6"/>
    <w:rsid w:val="00D30CAD"/>
    <w:rsid w:val="00D32D59"/>
    <w:rsid w:val="00D3651C"/>
    <w:rsid w:val="00D365FB"/>
    <w:rsid w:val="00D3684E"/>
    <w:rsid w:val="00D373AB"/>
    <w:rsid w:val="00D37AB6"/>
    <w:rsid w:val="00D4147A"/>
    <w:rsid w:val="00D423D2"/>
    <w:rsid w:val="00D44DC2"/>
    <w:rsid w:val="00D4518A"/>
    <w:rsid w:val="00D45793"/>
    <w:rsid w:val="00D5042F"/>
    <w:rsid w:val="00D51CFC"/>
    <w:rsid w:val="00D51F5C"/>
    <w:rsid w:val="00D5301D"/>
    <w:rsid w:val="00D53F4E"/>
    <w:rsid w:val="00D56763"/>
    <w:rsid w:val="00D567F2"/>
    <w:rsid w:val="00D57836"/>
    <w:rsid w:val="00D60138"/>
    <w:rsid w:val="00D605EA"/>
    <w:rsid w:val="00D62CC1"/>
    <w:rsid w:val="00D6340D"/>
    <w:rsid w:val="00D64F2A"/>
    <w:rsid w:val="00D6590C"/>
    <w:rsid w:val="00D6614E"/>
    <w:rsid w:val="00D6652F"/>
    <w:rsid w:val="00D66612"/>
    <w:rsid w:val="00D673F3"/>
    <w:rsid w:val="00D67DFD"/>
    <w:rsid w:val="00D706F3"/>
    <w:rsid w:val="00D70CE1"/>
    <w:rsid w:val="00D723BA"/>
    <w:rsid w:val="00D7550E"/>
    <w:rsid w:val="00D81AAA"/>
    <w:rsid w:val="00D8201F"/>
    <w:rsid w:val="00D84A50"/>
    <w:rsid w:val="00D84D45"/>
    <w:rsid w:val="00D85949"/>
    <w:rsid w:val="00D86ABD"/>
    <w:rsid w:val="00D879AC"/>
    <w:rsid w:val="00D90A09"/>
    <w:rsid w:val="00D90B33"/>
    <w:rsid w:val="00D92F85"/>
    <w:rsid w:val="00D93E97"/>
    <w:rsid w:val="00D9411D"/>
    <w:rsid w:val="00D94923"/>
    <w:rsid w:val="00DA0205"/>
    <w:rsid w:val="00DA0C85"/>
    <w:rsid w:val="00DA4E15"/>
    <w:rsid w:val="00DA5045"/>
    <w:rsid w:val="00DB1105"/>
    <w:rsid w:val="00DB180F"/>
    <w:rsid w:val="00DB2F53"/>
    <w:rsid w:val="00DB698B"/>
    <w:rsid w:val="00DC1335"/>
    <w:rsid w:val="00DC4A6C"/>
    <w:rsid w:val="00DC5092"/>
    <w:rsid w:val="00DC5992"/>
    <w:rsid w:val="00DD1A0A"/>
    <w:rsid w:val="00DD1DB2"/>
    <w:rsid w:val="00DD2D72"/>
    <w:rsid w:val="00DD3A89"/>
    <w:rsid w:val="00DD41C0"/>
    <w:rsid w:val="00DD4296"/>
    <w:rsid w:val="00DD49D9"/>
    <w:rsid w:val="00DD4CEB"/>
    <w:rsid w:val="00DD51D5"/>
    <w:rsid w:val="00DD531D"/>
    <w:rsid w:val="00DD5463"/>
    <w:rsid w:val="00DD74E6"/>
    <w:rsid w:val="00DD7766"/>
    <w:rsid w:val="00DE07A1"/>
    <w:rsid w:val="00DE14D0"/>
    <w:rsid w:val="00DE1631"/>
    <w:rsid w:val="00DE1D85"/>
    <w:rsid w:val="00DE56BD"/>
    <w:rsid w:val="00DE5E1F"/>
    <w:rsid w:val="00DE6154"/>
    <w:rsid w:val="00DE685B"/>
    <w:rsid w:val="00DE6B82"/>
    <w:rsid w:val="00DF17F4"/>
    <w:rsid w:val="00DF250D"/>
    <w:rsid w:val="00DF264E"/>
    <w:rsid w:val="00DF2C8C"/>
    <w:rsid w:val="00DF385C"/>
    <w:rsid w:val="00DF65ED"/>
    <w:rsid w:val="00E0017B"/>
    <w:rsid w:val="00E00EB1"/>
    <w:rsid w:val="00E02533"/>
    <w:rsid w:val="00E028C0"/>
    <w:rsid w:val="00E02E4C"/>
    <w:rsid w:val="00E03D25"/>
    <w:rsid w:val="00E07886"/>
    <w:rsid w:val="00E07EC8"/>
    <w:rsid w:val="00E1050E"/>
    <w:rsid w:val="00E11941"/>
    <w:rsid w:val="00E1209F"/>
    <w:rsid w:val="00E12912"/>
    <w:rsid w:val="00E12A95"/>
    <w:rsid w:val="00E136E5"/>
    <w:rsid w:val="00E14E71"/>
    <w:rsid w:val="00E15218"/>
    <w:rsid w:val="00E17A69"/>
    <w:rsid w:val="00E225A1"/>
    <w:rsid w:val="00E247B9"/>
    <w:rsid w:val="00E25646"/>
    <w:rsid w:val="00E2627E"/>
    <w:rsid w:val="00E26961"/>
    <w:rsid w:val="00E272E5"/>
    <w:rsid w:val="00E3156A"/>
    <w:rsid w:val="00E32636"/>
    <w:rsid w:val="00E32C93"/>
    <w:rsid w:val="00E35BF1"/>
    <w:rsid w:val="00E36008"/>
    <w:rsid w:val="00E37D6B"/>
    <w:rsid w:val="00E407CF"/>
    <w:rsid w:val="00E41262"/>
    <w:rsid w:val="00E422DB"/>
    <w:rsid w:val="00E42F4C"/>
    <w:rsid w:val="00E44402"/>
    <w:rsid w:val="00E44B33"/>
    <w:rsid w:val="00E44F2B"/>
    <w:rsid w:val="00E45F7A"/>
    <w:rsid w:val="00E4625D"/>
    <w:rsid w:val="00E462B5"/>
    <w:rsid w:val="00E47FAF"/>
    <w:rsid w:val="00E50908"/>
    <w:rsid w:val="00E520E9"/>
    <w:rsid w:val="00E53989"/>
    <w:rsid w:val="00E54A8D"/>
    <w:rsid w:val="00E553D9"/>
    <w:rsid w:val="00E55E1D"/>
    <w:rsid w:val="00E57992"/>
    <w:rsid w:val="00E60AFB"/>
    <w:rsid w:val="00E6113B"/>
    <w:rsid w:val="00E61244"/>
    <w:rsid w:val="00E637A5"/>
    <w:rsid w:val="00E6453D"/>
    <w:rsid w:val="00E662BD"/>
    <w:rsid w:val="00E67EC3"/>
    <w:rsid w:val="00E67EC7"/>
    <w:rsid w:val="00E724E3"/>
    <w:rsid w:val="00E73FB3"/>
    <w:rsid w:val="00E7799D"/>
    <w:rsid w:val="00E80538"/>
    <w:rsid w:val="00E81498"/>
    <w:rsid w:val="00E822A2"/>
    <w:rsid w:val="00E82EC5"/>
    <w:rsid w:val="00E83236"/>
    <w:rsid w:val="00E83926"/>
    <w:rsid w:val="00E85E2D"/>
    <w:rsid w:val="00E86C92"/>
    <w:rsid w:val="00E87E91"/>
    <w:rsid w:val="00E90164"/>
    <w:rsid w:val="00E906CF"/>
    <w:rsid w:val="00E91673"/>
    <w:rsid w:val="00E9180C"/>
    <w:rsid w:val="00E95BB4"/>
    <w:rsid w:val="00E962EA"/>
    <w:rsid w:val="00EA091E"/>
    <w:rsid w:val="00EA10A5"/>
    <w:rsid w:val="00EA1A35"/>
    <w:rsid w:val="00EA1E40"/>
    <w:rsid w:val="00EA23D9"/>
    <w:rsid w:val="00EA3D21"/>
    <w:rsid w:val="00EA5F16"/>
    <w:rsid w:val="00EA7F8B"/>
    <w:rsid w:val="00EB1D85"/>
    <w:rsid w:val="00EB5097"/>
    <w:rsid w:val="00EB6A1C"/>
    <w:rsid w:val="00EC156F"/>
    <w:rsid w:val="00EC203C"/>
    <w:rsid w:val="00EC232C"/>
    <w:rsid w:val="00EC2757"/>
    <w:rsid w:val="00EC4BBE"/>
    <w:rsid w:val="00EC4D02"/>
    <w:rsid w:val="00EC75AD"/>
    <w:rsid w:val="00EC77F8"/>
    <w:rsid w:val="00ED2309"/>
    <w:rsid w:val="00ED33FD"/>
    <w:rsid w:val="00ED40E2"/>
    <w:rsid w:val="00ED4B94"/>
    <w:rsid w:val="00ED6356"/>
    <w:rsid w:val="00EE0AD4"/>
    <w:rsid w:val="00EE1BDD"/>
    <w:rsid w:val="00EE2B26"/>
    <w:rsid w:val="00EE401F"/>
    <w:rsid w:val="00EE540B"/>
    <w:rsid w:val="00EE681F"/>
    <w:rsid w:val="00EE6CE5"/>
    <w:rsid w:val="00EE72B5"/>
    <w:rsid w:val="00EE7751"/>
    <w:rsid w:val="00EE790B"/>
    <w:rsid w:val="00EF1ADE"/>
    <w:rsid w:val="00EF3CF4"/>
    <w:rsid w:val="00EF3EAA"/>
    <w:rsid w:val="00EF4955"/>
    <w:rsid w:val="00EF5CBB"/>
    <w:rsid w:val="00EF783E"/>
    <w:rsid w:val="00F004E7"/>
    <w:rsid w:val="00F037ED"/>
    <w:rsid w:val="00F05569"/>
    <w:rsid w:val="00F06037"/>
    <w:rsid w:val="00F06444"/>
    <w:rsid w:val="00F07054"/>
    <w:rsid w:val="00F074FB"/>
    <w:rsid w:val="00F07818"/>
    <w:rsid w:val="00F123F5"/>
    <w:rsid w:val="00F12F30"/>
    <w:rsid w:val="00F13E6E"/>
    <w:rsid w:val="00F1520C"/>
    <w:rsid w:val="00F15372"/>
    <w:rsid w:val="00F156D9"/>
    <w:rsid w:val="00F160F5"/>
    <w:rsid w:val="00F166D1"/>
    <w:rsid w:val="00F17720"/>
    <w:rsid w:val="00F17922"/>
    <w:rsid w:val="00F21333"/>
    <w:rsid w:val="00F23666"/>
    <w:rsid w:val="00F25081"/>
    <w:rsid w:val="00F261DF"/>
    <w:rsid w:val="00F265D0"/>
    <w:rsid w:val="00F273AA"/>
    <w:rsid w:val="00F313F1"/>
    <w:rsid w:val="00F32113"/>
    <w:rsid w:val="00F3219B"/>
    <w:rsid w:val="00F32B87"/>
    <w:rsid w:val="00F33E46"/>
    <w:rsid w:val="00F3451B"/>
    <w:rsid w:val="00F363C4"/>
    <w:rsid w:val="00F405DE"/>
    <w:rsid w:val="00F41A31"/>
    <w:rsid w:val="00F42216"/>
    <w:rsid w:val="00F428A9"/>
    <w:rsid w:val="00F430C1"/>
    <w:rsid w:val="00F43B80"/>
    <w:rsid w:val="00F46473"/>
    <w:rsid w:val="00F46955"/>
    <w:rsid w:val="00F528F1"/>
    <w:rsid w:val="00F54AC1"/>
    <w:rsid w:val="00F56727"/>
    <w:rsid w:val="00F62317"/>
    <w:rsid w:val="00F6273B"/>
    <w:rsid w:val="00F63225"/>
    <w:rsid w:val="00F63384"/>
    <w:rsid w:val="00F63FF4"/>
    <w:rsid w:val="00F6568B"/>
    <w:rsid w:val="00F66A54"/>
    <w:rsid w:val="00F6787C"/>
    <w:rsid w:val="00F706A1"/>
    <w:rsid w:val="00F732AA"/>
    <w:rsid w:val="00F73550"/>
    <w:rsid w:val="00F73BCA"/>
    <w:rsid w:val="00F73D3B"/>
    <w:rsid w:val="00F73ECA"/>
    <w:rsid w:val="00F74C4B"/>
    <w:rsid w:val="00F7501A"/>
    <w:rsid w:val="00F76431"/>
    <w:rsid w:val="00F76B3F"/>
    <w:rsid w:val="00F76EB0"/>
    <w:rsid w:val="00F77951"/>
    <w:rsid w:val="00F810BF"/>
    <w:rsid w:val="00F814E7"/>
    <w:rsid w:val="00F82E40"/>
    <w:rsid w:val="00F868A0"/>
    <w:rsid w:val="00F87B1D"/>
    <w:rsid w:val="00F90C32"/>
    <w:rsid w:val="00F91C01"/>
    <w:rsid w:val="00F9244C"/>
    <w:rsid w:val="00F95690"/>
    <w:rsid w:val="00F9790F"/>
    <w:rsid w:val="00F97BC6"/>
    <w:rsid w:val="00FA0301"/>
    <w:rsid w:val="00FA06CF"/>
    <w:rsid w:val="00FA2BF1"/>
    <w:rsid w:val="00FA2F87"/>
    <w:rsid w:val="00FA3211"/>
    <w:rsid w:val="00FA3DBD"/>
    <w:rsid w:val="00FA6F19"/>
    <w:rsid w:val="00FA6F57"/>
    <w:rsid w:val="00FA7AB8"/>
    <w:rsid w:val="00FB04D2"/>
    <w:rsid w:val="00FB0A87"/>
    <w:rsid w:val="00FB106F"/>
    <w:rsid w:val="00FB2E0A"/>
    <w:rsid w:val="00FB3F06"/>
    <w:rsid w:val="00FB51FE"/>
    <w:rsid w:val="00FB5BA7"/>
    <w:rsid w:val="00FB6946"/>
    <w:rsid w:val="00FB732C"/>
    <w:rsid w:val="00FB7841"/>
    <w:rsid w:val="00FC1297"/>
    <w:rsid w:val="00FC25D7"/>
    <w:rsid w:val="00FC2C74"/>
    <w:rsid w:val="00FC3643"/>
    <w:rsid w:val="00FC3DC8"/>
    <w:rsid w:val="00FC5574"/>
    <w:rsid w:val="00FD00EF"/>
    <w:rsid w:val="00FD17FF"/>
    <w:rsid w:val="00FD3BF8"/>
    <w:rsid w:val="00FD4547"/>
    <w:rsid w:val="00FD51DB"/>
    <w:rsid w:val="00FD523E"/>
    <w:rsid w:val="00FD6DE6"/>
    <w:rsid w:val="00FE0CD4"/>
    <w:rsid w:val="00FE0E31"/>
    <w:rsid w:val="00FE1734"/>
    <w:rsid w:val="00FE22CD"/>
    <w:rsid w:val="00FE317A"/>
    <w:rsid w:val="00FE5BE6"/>
    <w:rsid w:val="00FE6965"/>
    <w:rsid w:val="00FF1291"/>
    <w:rsid w:val="00FF150E"/>
    <w:rsid w:val="00FF2F27"/>
    <w:rsid w:val="00FF3B6B"/>
    <w:rsid w:val="00FF4059"/>
    <w:rsid w:val="00FF44D6"/>
    <w:rsid w:val="00FF459D"/>
    <w:rsid w:val="00FF4F8F"/>
    <w:rsid w:val="00FF70CC"/>
    <w:rsid w:val="00FF77DC"/>
    <w:rsid w:val="01308EA9"/>
    <w:rsid w:val="013968F2"/>
    <w:rsid w:val="018CF11B"/>
    <w:rsid w:val="01AE7101"/>
    <w:rsid w:val="01D043FD"/>
    <w:rsid w:val="01FADAE4"/>
    <w:rsid w:val="02246A09"/>
    <w:rsid w:val="0228FC03"/>
    <w:rsid w:val="022D6CCF"/>
    <w:rsid w:val="0247099A"/>
    <w:rsid w:val="0277D641"/>
    <w:rsid w:val="02EFB2BA"/>
    <w:rsid w:val="03B7536A"/>
    <w:rsid w:val="03E15947"/>
    <w:rsid w:val="04815024"/>
    <w:rsid w:val="0492911E"/>
    <w:rsid w:val="04A4B17E"/>
    <w:rsid w:val="05CA26F7"/>
    <w:rsid w:val="05CBFA10"/>
    <w:rsid w:val="062B8C94"/>
    <w:rsid w:val="0699E2BE"/>
    <w:rsid w:val="06A3089F"/>
    <w:rsid w:val="06B83C14"/>
    <w:rsid w:val="06CFB0B9"/>
    <w:rsid w:val="06F44F63"/>
    <w:rsid w:val="071ADC3B"/>
    <w:rsid w:val="07B9D89D"/>
    <w:rsid w:val="07C76177"/>
    <w:rsid w:val="07C92456"/>
    <w:rsid w:val="07E9AB9A"/>
    <w:rsid w:val="08039E87"/>
    <w:rsid w:val="080A838E"/>
    <w:rsid w:val="0840559B"/>
    <w:rsid w:val="087BAEC7"/>
    <w:rsid w:val="08A8A0C3"/>
    <w:rsid w:val="092B077C"/>
    <w:rsid w:val="09330531"/>
    <w:rsid w:val="093D7084"/>
    <w:rsid w:val="09869558"/>
    <w:rsid w:val="09D00296"/>
    <w:rsid w:val="09E9574C"/>
    <w:rsid w:val="0A48C8C2"/>
    <w:rsid w:val="0A68AF67"/>
    <w:rsid w:val="0A70E11C"/>
    <w:rsid w:val="0B015E23"/>
    <w:rsid w:val="0B3A2D4E"/>
    <w:rsid w:val="0B8BBE85"/>
    <w:rsid w:val="0BBB92DF"/>
    <w:rsid w:val="0C6A3CB5"/>
    <w:rsid w:val="0C85AEB3"/>
    <w:rsid w:val="0C85BBE3"/>
    <w:rsid w:val="0CA211B5"/>
    <w:rsid w:val="0CB15A3C"/>
    <w:rsid w:val="0CB62C0D"/>
    <w:rsid w:val="0CD1A4B9"/>
    <w:rsid w:val="0D2BB2A9"/>
    <w:rsid w:val="0D5AFFB8"/>
    <w:rsid w:val="0D60F6D8"/>
    <w:rsid w:val="0D6BAEAA"/>
    <w:rsid w:val="0D6F3A7F"/>
    <w:rsid w:val="0DB0A86F"/>
    <w:rsid w:val="0DB8D0C4"/>
    <w:rsid w:val="0E0AD714"/>
    <w:rsid w:val="0EC9FAA3"/>
    <w:rsid w:val="0F27BAB7"/>
    <w:rsid w:val="0F981664"/>
    <w:rsid w:val="0FB4BAAE"/>
    <w:rsid w:val="0FD19BF3"/>
    <w:rsid w:val="0FD4CF46"/>
    <w:rsid w:val="1017A94B"/>
    <w:rsid w:val="1033C974"/>
    <w:rsid w:val="105B1DFA"/>
    <w:rsid w:val="1075DBA5"/>
    <w:rsid w:val="10CC27D6"/>
    <w:rsid w:val="10CE133A"/>
    <w:rsid w:val="11698D27"/>
    <w:rsid w:val="116FC789"/>
    <w:rsid w:val="117C7C8B"/>
    <w:rsid w:val="11F45BA2"/>
    <w:rsid w:val="126362B0"/>
    <w:rsid w:val="126E2A93"/>
    <w:rsid w:val="1282CFA7"/>
    <w:rsid w:val="129C9BD3"/>
    <w:rsid w:val="1326ECEA"/>
    <w:rsid w:val="132EE32C"/>
    <w:rsid w:val="1337283C"/>
    <w:rsid w:val="1384BB29"/>
    <w:rsid w:val="13B0C143"/>
    <w:rsid w:val="13D2C72D"/>
    <w:rsid w:val="13DE7C03"/>
    <w:rsid w:val="1440AEEC"/>
    <w:rsid w:val="1459B900"/>
    <w:rsid w:val="149AE280"/>
    <w:rsid w:val="14AF2263"/>
    <w:rsid w:val="14BEF0C8"/>
    <w:rsid w:val="150C2BD4"/>
    <w:rsid w:val="1516BE5F"/>
    <w:rsid w:val="1542950B"/>
    <w:rsid w:val="1618843C"/>
    <w:rsid w:val="163BB105"/>
    <w:rsid w:val="16496D9F"/>
    <w:rsid w:val="16515B25"/>
    <w:rsid w:val="16666FFA"/>
    <w:rsid w:val="16CB3FBD"/>
    <w:rsid w:val="1704E1EE"/>
    <w:rsid w:val="1725182C"/>
    <w:rsid w:val="174BC621"/>
    <w:rsid w:val="174E928D"/>
    <w:rsid w:val="1751209E"/>
    <w:rsid w:val="1768DDB0"/>
    <w:rsid w:val="1776B1DD"/>
    <w:rsid w:val="17C6E8B5"/>
    <w:rsid w:val="17C8A69D"/>
    <w:rsid w:val="187DB297"/>
    <w:rsid w:val="18917655"/>
    <w:rsid w:val="18A04ECF"/>
    <w:rsid w:val="18B3F3B7"/>
    <w:rsid w:val="18ED851B"/>
    <w:rsid w:val="198CB1A1"/>
    <w:rsid w:val="19DB6186"/>
    <w:rsid w:val="19E96A32"/>
    <w:rsid w:val="1A12AC5C"/>
    <w:rsid w:val="1A43C20F"/>
    <w:rsid w:val="1A4CC179"/>
    <w:rsid w:val="1A776F57"/>
    <w:rsid w:val="1A8A6FF8"/>
    <w:rsid w:val="1AA4AAF3"/>
    <w:rsid w:val="1B1B699F"/>
    <w:rsid w:val="1B27A606"/>
    <w:rsid w:val="1BFB889E"/>
    <w:rsid w:val="1C25741A"/>
    <w:rsid w:val="1C357760"/>
    <w:rsid w:val="1C6B0011"/>
    <w:rsid w:val="1CB34061"/>
    <w:rsid w:val="1D49F788"/>
    <w:rsid w:val="1D4B5DCB"/>
    <w:rsid w:val="1D742372"/>
    <w:rsid w:val="1D90C994"/>
    <w:rsid w:val="1DF1A975"/>
    <w:rsid w:val="1E571035"/>
    <w:rsid w:val="1E58F3B1"/>
    <w:rsid w:val="1E5C6D0A"/>
    <w:rsid w:val="1EA2F476"/>
    <w:rsid w:val="1EC31756"/>
    <w:rsid w:val="1EE9D023"/>
    <w:rsid w:val="1EF02F0E"/>
    <w:rsid w:val="1F298A50"/>
    <w:rsid w:val="1F51A2BF"/>
    <w:rsid w:val="1F7502E1"/>
    <w:rsid w:val="1F818BC5"/>
    <w:rsid w:val="1F9B62B2"/>
    <w:rsid w:val="1FE1D47E"/>
    <w:rsid w:val="20A3D6AE"/>
    <w:rsid w:val="20DEB603"/>
    <w:rsid w:val="2163E7F4"/>
    <w:rsid w:val="21DA6177"/>
    <w:rsid w:val="22275878"/>
    <w:rsid w:val="226F69D5"/>
    <w:rsid w:val="227A8664"/>
    <w:rsid w:val="22860DBE"/>
    <w:rsid w:val="22978B62"/>
    <w:rsid w:val="22DA13B2"/>
    <w:rsid w:val="23709DBB"/>
    <w:rsid w:val="237DE345"/>
    <w:rsid w:val="237ED2AA"/>
    <w:rsid w:val="23BB681F"/>
    <w:rsid w:val="241BA8D5"/>
    <w:rsid w:val="24AB0BF8"/>
    <w:rsid w:val="24AD295C"/>
    <w:rsid w:val="25259F72"/>
    <w:rsid w:val="2530E1D0"/>
    <w:rsid w:val="25473D38"/>
    <w:rsid w:val="25966627"/>
    <w:rsid w:val="25AA0009"/>
    <w:rsid w:val="25C18449"/>
    <w:rsid w:val="25DD3D27"/>
    <w:rsid w:val="25F47AE4"/>
    <w:rsid w:val="26053256"/>
    <w:rsid w:val="26825837"/>
    <w:rsid w:val="26969F94"/>
    <w:rsid w:val="26A8A16C"/>
    <w:rsid w:val="26DE5A9E"/>
    <w:rsid w:val="26F30F9E"/>
    <w:rsid w:val="27516693"/>
    <w:rsid w:val="27A7FB3A"/>
    <w:rsid w:val="28087482"/>
    <w:rsid w:val="281F06E2"/>
    <w:rsid w:val="28B603A0"/>
    <w:rsid w:val="291306C4"/>
    <w:rsid w:val="292E3845"/>
    <w:rsid w:val="29B74D76"/>
    <w:rsid w:val="2A020440"/>
    <w:rsid w:val="2A770608"/>
    <w:rsid w:val="2AEA4719"/>
    <w:rsid w:val="2AEFB3F1"/>
    <w:rsid w:val="2AF289C7"/>
    <w:rsid w:val="2B092E2C"/>
    <w:rsid w:val="2B40FBC3"/>
    <w:rsid w:val="2B56653B"/>
    <w:rsid w:val="2B7D7D11"/>
    <w:rsid w:val="2BBA74DD"/>
    <w:rsid w:val="2BBBA738"/>
    <w:rsid w:val="2BFEDB12"/>
    <w:rsid w:val="2C1B30AB"/>
    <w:rsid w:val="2C49C5ED"/>
    <w:rsid w:val="2C8096DB"/>
    <w:rsid w:val="2C8E5A28"/>
    <w:rsid w:val="2CA029CC"/>
    <w:rsid w:val="2CA94CAC"/>
    <w:rsid w:val="2D626587"/>
    <w:rsid w:val="2DCC726B"/>
    <w:rsid w:val="2DE1CDB4"/>
    <w:rsid w:val="2DFFD3E8"/>
    <w:rsid w:val="2E3703B6"/>
    <w:rsid w:val="2E5013AC"/>
    <w:rsid w:val="2EB56468"/>
    <w:rsid w:val="2EBC33F4"/>
    <w:rsid w:val="2F13E95A"/>
    <w:rsid w:val="2F2BBCF2"/>
    <w:rsid w:val="2F9CA283"/>
    <w:rsid w:val="2FA6606D"/>
    <w:rsid w:val="300989CF"/>
    <w:rsid w:val="3016DAA0"/>
    <w:rsid w:val="308A06DB"/>
    <w:rsid w:val="309A0A21"/>
    <w:rsid w:val="31161434"/>
    <w:rsid w:val="31796011"/>
    <w:rsid w:val="317CBDCF"/>
    <w:rsid w:val="31874A05"/>
    <w:rsid w:val="31B210CF"/>
    <w:rsid w:val="31C487C9"/>
    <w:rsid w:val="3217CD7D"/>
    <w:rsid w:val="321BB02E"/>
    <w:rsid w:val="321BD3EF"/>
    <w:rsid w:val="32449002"/>
    <w:rsid w:val="32994C73"/>
    <w:rsid w:val="32B63425"/>
    <w:rsid w:val="33188E30"/>
    <w:rsid w:val="331919EF"/>
    <w:rsid w:val="33205A3C"/>
    <w:rsid w:val="33208FDF"/>
    <w:rsid w:val="332CD99A"/>
    <w:rsid w:val="3348AD50"/>
    <w:rsid w:val="3367CBCD"/>
    <w:rsid w:val="338DF21B"/>
    <w:rsid w:val="33C007E8"/>
    <w:rsid w:val="33C03FF7"/>
    <w:rsid w:val="33CAFEB6"/>
    <w:rsid w:val="33E44D6C"/>
    <w:rsid w:val="33F41AAD"/>
    <w:rsid w:val="3406E9A4"/>
    <w:rsid w:val="345DC7C4"/>
    <w:rsid w:val="348378B9"/>
    <w:rsid w:val="349DCA36"/>
    <w:rsid w:val="34B45E91"/>
    <w:rsid w:val="34D07157"/>
    <w:rsid w:val="34D1858D"/>
    <w:rsid w:val="353B9C97"/>
    <w:rsid w:val="358EF2DB"/>
    <w:rsid w:val="359DB664"/>
    <w:rsid w:val="35E8EF80"/>
    <w:rsid w:val="365D5C1A"/>
    <w:rsid w:val="366CF3C7"/>
    <w:rsid w:val="369DE0F9"/>
    <w:rsid w:val="36AF961D"/>
    <w:rsid w:val="36F4D120"/>
    <w:rsid w:val="37009C09"/>
    <w:rsid w:val="370E0A79"/>
    <w:rsid w:val="3721CB8D"/>
    <w:rsid w:val="372F0CD2"/>
    <w:rsid w:val="37368A31"/>
    <w:rsid w:val="37470278"/>
    <w:rsid w:val="374A6856"/>
    <w:rsid w:val="3785188D"/>
    <w:rsid w:val="37984B72"/>
    <w:rsid w:val="379B9AE2"/>
    <w:rsid w:val="37E57937"/>
    <w:rsid w:val="38272426"/>
    <w:rsid w:val="3830B55B"/>
    <w:rsid w:val="38824692"/>
    <w:rsid w:val="3884E9AB"/>
    <w:rsid w:val="38B4E77D"/>
    <w:rsid w:val="38CDA2CC"/>
    <w:rsid w:val="3917335F"/>
    <w:rsid w:val="39395E81"/>
    <w:rsid w:val="397CA477"/>
    <w:rsid w:val="398E6C1C"/>
    <w:rsid w:val="3996BE49"/>
    <w:rsid w:val="39AC820F"/>
    <w:rsid w:val="3A000A60"/>
    <w:rsid w:val="3A50DAF7"/>
    <w:rsid w:val="3A878A89"/>
    <w:rsid w:val="3A8A813C"/>
    <w:rsid w:val="3AB6250E"/>
    <w:rsid w:val="3B0497CB"/>
    <w:rsid w:val="3B54FB57"/>
    <w:rsid w:val="3B5FA2DE"/>
    <w:rsid w:val="3C48271A"/>
    <w:rsid w:val="3C6347EB"/>
    <w:rsid w:val="3C9BADFD"/>
    <w:rsid w:val="3CC60CDE"/>
    <w:rsid w:val="3D17529D"/>
    <w:rsid w:val="3D37749C"/>
    <w:rsid w:val="3D48FA89"/>
    <w:rsid w:val="3DFDF49B"/>
    <w:rsid w:val="3E5FF48E"/>
    <w:rsid w:val="3E694628"/>
    <w:rsid w:val="3E7FF332"/>
    <w:rsid w:val="3EB168DF"/>
    <w:rsid w:val="3F0F0268"/>
    <w:rsid w:val="3F1BF4B1"/>
    <w:rsid w:val="3F22AA2D"/>
    <w:rsid w:val="3F29E56A"/>
    <w:rsid w:val="3F44CA02"/>
    <w:rsid w:val="3F600326"/>
    <w:rsid w:val="3F975D8A"/>
    <w:rsid w:val="401A8F3E"/>
    <w:rsid w:val="40485475"/>
    <w:rsid w:val="40756FD2"/>
    <w:rsid w:val="40E677E6"/>
    <w:rsid w:val="40E8FC40"/>
    <w:rsid w:val="42032106"/>
    <w:rsid w:val="424BE628"/>
    <w:rsid w:val="43017CBC"/>
    <w:rsid w:val="432ABD49"/>
    <w:rsid w:val="43369F80"/>
    <w:rsid w:val="434AEAEA"/>
    <w:rsid w:val="434E76BF"/>
    <w:rsid w:val="43ACC1D3"/>
    <w:rsid w:val="43AED177"/>
    <w:rsid w:val="43E0887F"/>
    <w:rsid w:val="43E4D70B"/>
    <w:rsid w:val="43E9962B"/>
    <w:rsid w:val="44258580"/>
    <w:rsid w:val="442A6D07"/>
    <w:rsid w:val="44316382"/>
    <w:rsid w:val="449EA396"/>
    <w:rsid w:val="44C1F4B3"/>
    <w:rsid w:val="44EF34B6"/>
    <w:rsid w:val="44F86BA5"/>
    <w:rsid w:val="45640296"/>
    <w:rsid w:val="45EBDCC6"/>
    <w:rsid w:val="45FF11F7"/>
    <w:rsid w:val="45FFCC4C"/>
    <w:rsid w:val="461D6EA0"/>
    <w:rsid w:val="4643F38E"/>
    <w:rsid w:val="46453158"/>
    <w:rsid w:val="46578D70"/>
    <w:rsid w:val="465ED332"/>
    <w:rsid w:val="468B0517"/>
    <w:rsid w:val="468CE784"/>
    <w:rsid w:val="46CD5803"/>
    <w:rsid w:val="46CF0CE2"/>
    <w:rsid w:val="47224F9C"/>
    <w:rsid w:val="47232446"/>
    <w:rsid w:val="4761AA5C"/>
    <w:rsid w:val="47AB4AA2"/>
    <w:rsid w:val="48090BC2"/>
    <w:rsid w:val="481AC841"/>
    <w:rsid w:val="4875BBC8"/>
    <w:rsid w:val="48D95FF5"/>
    <w:rsid w:val="48DFCE46"/>
    <w:rsid w:val="4956E75C"/>
    <w:rsid w:val="496D2648"/>
    <w:rsid w:val="49D70F72"/>
    <w:rsid w:val="49DF71AC"/>
    <w:rsid w:val="49E61B3B"/>
    <w:rsid w:val="49ED3237"/>
    <w:rsid w:val="4A37383C"/>
    <w:rsid w:val="4A525AF6"/>
    <w:rsid w:val="4A6E7C85"/>
    <w:rsid w:val="4A7B9EA7"/>
    <w:rsid w:val="4AAE7B46"/>
    <w:rsid w:val="4ACC3236"/>
    <w:rsid w:val="4ACFCF32"/>
    <w:rsid w:val="4AE7C79B"/>
    <w:rsid w:val="4B2BC53C"/>
    <w:rsid w:val="4B41B165"/>
    <w:rsid w:val="4BA225AE"/>
    <w:rsid w:val="4BE3BE59"/>
    <w:rsid w:val="4C4037F9"/>
    <w:rsid w:val="4C4A4BA7"/>
    <w:rsid w:val="4C94B677"/>
    <w:rsid w:val="4C9C50D8"/>
    <w:rsid w:val="4C9D563F"/>
    <w:rsid w:val="4CCD6849"/>
    <w:rsid w:val="4CDC30A8"/>
    <w:rsid w:val="4CE11E3E"/>
    <w:rsid w:val="4CF5FB53"/>
    <w:rsid w:val="4CFC3796"/>
    <w:rsid w:val="4D0ECDB1"/>
    <w:rsid w:val="4D2109C9"/>
    <w:rsid w:val="4DA04264"/>
    <w:rsid w:val="4DFCFE0E"/>
    <w:rsid w:val="4E75F88E"/>
    <w:rsid w:val="4E9012FF"/>
    <w:rsid w:val="4E9161EB"/>
    <w:rsid w:val="4ECFE2A3"/>
    <w:rsid w:val="4ED3EAAE"/>
    <w:rsid w:val="4EE61792"/>
    <w:rsid w:val="4F41EDA8"/>
    <w:rsid w:val="4F528675"/>
    <w:rsid w:val="4F709E4E"/>
    <w:rsid w:val="4F742AFC"/>
    <w:rsid w:val="4F745971"/>
    <w:rsid w:val="4FB1381B"/>
    <w:rsid w:val="5001BF8B"/>
    <w:rsid w:val="501CA7CC"/>
    <w:rsid w:val="501E088B"/>
    <w:rsid w:val="506D2B2C"/>
    <w:rsid w:val="506EB8D9"/>
    <w:rsid w:val="50F9D661"/>
    <w:rsid w:val="5111DF92"/>
    <w:rsid w:val="516A270B"/>
    <w:rsid w:val="517EC6EF"/>
    <w:rsid w:val="51C8CA28"/>
    <w:rsid w:val="51D2914E"/>
    <w:rsid w:val="524A1A2F"/>
    <w:rsid w:val="52A064CE"/>
    <w:rsid w:val="52B6AA6B"/>
    <w:rsid w:val="52FB5D65"/>
    <w:rsid w:val="53EE9BE2"/>
    <w:rsid w:val="53F6E51F"/>
    <w:rsid w:val="5412CF17"/>
    <w:rsid w:val="5469CAFC"/>
    <w:rsid w:val="550FD58F"/>
    <w:rsid w:val="5517D1BE"/>
    <w:rsid w:val="551F04DC"/>
    <w:rsid w:val="552C1B8C"/>
    <w:rsid w:val="552DE1FB"/>
    <w:rsid w:val="5542850A"/>
    <w:rsid w:val="55878B5B"/>
    <w:rsid w:val="559ADB51"/>
    <w:rsid w:val="559CC932"/>
    <w:rsid w:val="55D21CD6"/>
    <w:rsid w:val="55D39A48"/>
    <w:rsid w:val="5602CE39"/>
    <w:rsid w:val="5626543F"/>
    <w:rsid w:val="56518F9B"/>
    <w:rsid w:val="56A38CDD"/>
    <w:rsid w:val="56C5D436"/>
    <w:rsid w:val="56E8057E"/>
    <w:rsid w:val="5788FE34"/>
    <w:rsid w:val="578FF18C"/>
    <w:rsid w:val="57900199"/>
    <w:rsid w:val="5796CBD3"/>
    <w:rsid w:val="57A98271"/>
    <w:rsid w:val="580DA878"/>
    <w:rsid w:val="58255A40"/>
    <w:rsid w:val="5826D0D5"/>
    <w:rsid w:val="5859C2A4"/>
    <w:rsid w:val="585CD18B"/>
    <w:rsid w:val="5863584F"/>
    <w:rsid w:val="58F351B4"/>
    <w:rsid w:val="591743E7"/>
    <w:rsid w:val="59177D44"/>
    <w:rsid w:val="591ED148"/>
    <w:rsid w:val="59B482CC"/>
    <w:rsid w:val="59E9B503"/>
    <w:rsid w:val="59EDFE9A"/>
    <w:rsid w:val="5A0D5FD2"/>
    <w:rsid w:val="5A68B63C"/>
    <w:rsid w:val="5A820AE9"/>
    <w:rsid w:val="5AAAEACE"/>
    <w:rsid w:val="5AFEFBEC"/>
    <w:rsid w:val="5B1BC287"/>
    <w:rsid w:val="5B4C3E17"/>
    <w:rsid w:val="5B4EC985"/>
    <w:rsid w:val="5B568411"/>
    <w:rsid w:val="5B6A8DDE"/>
    <w:rsid w:val="5BAF5288"/>
    <w:rsid w:val="5C5E427D"/>
    <w:rsid w:val="5C5FF416"/>
    <w:rsid w:val="5C73AB45"/>
    <w:rsid w:val="5C744E8A"/>
    <w:rsid w:val="5C8EA389"/>
    <w:rsid w:val="5CBA4954"/>
    <w:rsid w:val="5D1A94AA"/>
    <w:rsid w:val="5D2C5D7E"/>
    <w:rsid w:val="5DB517C9"/>
    <w:rsid w:val="5E3E8781"/>
    <w:rsid w:val="5E51B6B8"/>
    <w:rsid w:val="5E5E6B37"/>
    <w:rsid w:val="5E768A5F"/>
    <w:rsid w:val="5E7F4364"/>
    <w:rsid w:val="5E963A65"/>
    <w:rsid w:val="5EBD2626"/>
    <w:rsid w:val="5EC0A704"/>
    <w:rsid w:val="5EC90428"/>
    <w:rsid w:val="5EEA0CFB"/>
    <w:rsid w:val="5F344A9A"/>
    <w:rsid w:val="5F50E82A"/>
    <w:rsid w:val="5F857375"/>
    <w:rsid w:val="5FA5A041"/>
    <w:rsid w:val="5FBB8772"/>
    <w:rsid w:val="60285CF6"/>
    <w:rsid w:val="6058F687"/>
    <w:rsid w:val="605AFF15"/>
    <w:rsid w:val="60652D2E"/>
    <w:rsid w:val="6090784D"/>
    <w:rsid w:val="6094DDF7"/>
    <w:rsid w:val="60CFA150"/>
    <w:rsid w:val="60E09E27"/>
    <w:rsid w:val="60E58727"/>
    <w:rsid w:val="60FD8516"/>
    <w:rsid w:val="6118F07C"/>
    <w:rsid w:val="612E9690"/>
    <w:rsid w:val="61399846"/>
    <w:rsid w:val="615CFFE6"/>
    <w:rsid w:val="6174648F"/>
    <w:rsid w:val="61855201"/>
    <w:rsid w:val="61DEC738"/>
    <w:rsid w:val="61F4C6E8"/>
    <w:rsid w:val="627E775D"/>
    <w:rsid w:val="62B092AD"/>
    <w:rsid w:val="62B5FCB3"/>
    <w:rsid w:val="62C0D95D"/>
    <w:rsid w:val="6395A5C3"/>
    <w:rsid w:val="63A5E115"/>
    <w:rsid w:val="63D8BDBD"/>
    <w:rsid w:val="6424594D"/>
    <w:rsid w:val="64411E22"/>
    <w:rsid w:val="64807E76"/>
    <w:rsid w:val="64B400E0"/>
    <w:rsid w:val="6526019B"/>
    <w:rsid w:val="6557A17E"/>
    <w:rsid w:val="65F616E0"/>
    <w:rsid w:val="65F9FB74"/>
    <w:rsid w:val="661F1694"/>
    <w:rsid w:val="6633EA92"/>
    <w:rsid w:val="663760AB"/>
    <w:rsid w:val="66C8380B"/>
    <w:rsid w:val="66DF6585"/>
    <w:rsid w:val="6751E880"/>
    <w:rsid w:val="677B44D0"/>
    <w:rsid w:val="679D69C9"/>
    <w:rsid w:val="67B45FB9"/>
    <w:rsid w:val="67DD7305"/>
    <w:rsid w:val="67E0C4FC"/>
    <w:rsid w:val="68193F32"/>
    <w:rsid w:val="683874F8"/>
    <w:rsid w:val="68876DE2"/>
    <w:rsid w:val="68C0F6D5"/>
    <w:rsid w:val="68EDB8E1"/>
    <w:rsid w:val="68EFEF84"/>
    <w:rsid w:val="690C15DA"/>
    <w:rsid w:val="69432A1D"/>
    <w:rsid w:val="6957A806"/>
    <w:rsid w:val="69B36996"/>
    <w:rsid w:val="69BB21FF"/>
    <w:rsid w:val="69D8C500"/>
    <w:rsid w:val="6A07C653"/>
    <w:rsid w:val="6A0B92EC"/>
    <w:rsid w:val="6A649F18"/>
    <w:rsid w:val="6A726108"/>
    <w:rsid w:val="6A981C82"/>
    <w:rsid w:val="6ACB4DF0"/>
    <w:rsid w:val="6B9A7BD2"/>
    <w:rsid w:val="6B9BA92E"/>
    <w:rsid w:val="6C0C64EE"/>
    <w:rsid w:val="6C20E3F7"/>
    <w:rsid w:val="6C61885F"/>
    <w:rsid w:val="6C7643C4"/>
    <w:rsid w:val="6CC1DABE"/>
    <w:rsid w:val="6CDF261C"/>
    <w:rsid w:val="6CE750A4"/>
    <w:rsid w:val="6D122BFD"/>
    <w:rsid w:val="6D49DE3F"/>
    <w:rsid w:val="6DE6195E"/>
    <w:rsid w:val="6DEB0058"/>
    <w:rsid w:val="6E1DF227"/>
    <w:rsid w:val="6E54CAA8"/>
    <w:rsid w:val="6E5C0551"/>
    <w:rsid w:val="6E9C33CF"/>
    <w:rsid w:val="6EADFC5E"/>
    <w:rsid w:val="6ED349F0"/>
    <w:rsid w:val="6F2EBD97"/>
    <w:rsid w:val="6F3EEF52"/>
    <w:rsid w:val="6F9471DB"/>
    <w:rsid w:val="6FB68A0D"/>
    <w:rsid w:val="7049CCBF"/>
    <w:rsid w:val="705E156A"/>
    <w:rsid w:val="707707D7"/>
    <w:rsid w:val="70A24E2F"/>
    <w:rsid w:val="714BB80B"/>
    <w:rsid w:val="715C8C04"/>
    <w:rsid w:val="717F276B"/>
    <w:rsid w:val="71BF9D53"/>
    <w:rsid w:val="71D1A82A"/>
    <w:rsid w:val="71DD709F"/>
    <w:rsid w:val="720AEAB2"/>
    <w:rsid w:val="7237AACB"/>
    <w:rsid w:val="72834C01"/>
    <w:rsid w:val="72AAEA69"/>
    <w:rsid w:val="72B15F97"/>
    <w:rsid w:val="72D799D8"/>
    <w:rsid w:val="7308FA0F"/>
    <w:rsid w:val="7334F5E0"/>
    <w:rsid w:val="73390964"/>
    <w:rsid w:val="73885E1A"/>
    <w:rsid w:val="738B8A37"/>
    <w:rsid w:val="74443ABD"/>
    <w:rsid w:val="7451642B"/>
    <w:rsid w:val="745A69E8"/>
    <w:rsid w:val="74E1A5A8"/>
    <w:rsid w:val="7518E9EC"/>
    <w:rsid w:val="75523B63"/>
    <w:rsid w:val="75A7A022"/>
    <w:rsid w:val="75DE3AFE"/>
    <w:rsid w:val="75F6123D"/>
    <w:rsid w:val="75F63A49"/>
    <w:rsid w:val="75FAFFD3"/>
    <w:rsid w:val="76FDC7C9"/>
    <w:rsid w:val="77263ED2"/>
    <w:rsid w:val="772C60ED"/>
    <w:rsid w:val="7791E29E"/>
    <w:rsid w:val="77A277CD"/>
    <w:rsid w:val="78991EBE"/>
    <w:rsid w:val="7899982A"/>
    <w:rsid w:val="78B34986"/>
    <w:rsid w:val="78C8314E"/>
    <w:rsid w:val="78DF909D"/>
    <w:rsid w:val="793B4D44"/>
    <w:rsid w:val="793BA867"/>
    <w:rsid w:val="7946DB5C"/>
    <w:rsid w:val="7985A593"/>
    <w:rsid w:val="79BBB08B"/>
    <w:rsid w:val="79CFC2CE"/>
    <w:rsid w:val="79DDADF3"/>
    <w:rsid w:val="7A0AAC0B"/>
    <w:rsid w:val="7A0BD822"/>
    <w:rsid w:val="7A0C2D91"/>
    <w:rsid w:val="7A19886C"/>
    <w:rsid w:val="7A1DEA1D"/>
    <w:rsid w:val="7A5FB70D"/>
    <w:rsid w:val="7A812CDD"/>
    <w:rsid w:val="7B47DA9C"/>
    <w:rsid w:val="7BF30127"/>
    <w:rsid w:val="7C267958"/>
    <w:rsid w:val="7C2D2EA5"/>
    <w:rsid w:val="7C6345D7"/>
    <w:rsid w:val="7C6A4157"/>
    <w:rsid w:val="7C890289"/>
    <w:rsid w:val="7C8DD47D"/>
    <w:rsid w:val="7CB0C20F"/>
    <w:rsid w:val="7CB97FF7"/>
    <w:rsid w:val="7CBD26E8"/>
    <w:rsid w:val="7CC0C568"/>
    <w:rsid w:val="7CEC41E4"/>
    <w:rsid w:val="7D280A12"/>
    <w:rsid w:val="7D5C1E9B"/>
    <w:rsid w:val="7D645C62"/>
    <w:rsid w:val="7DF0851E"/>
    <w:rsid w:val="7DF51D01"/>
    <w:rsid w:val="7DFE1039"/>
    <w:rsid w:val="7E000B93"/>
    <w:rsid w:val="7E783BF8"/>
    <w:rsid w:val="7ECB10C1"/>
    <w:rsid w:val="7EF15B40"/>
    <w:rsid w:val="7EF498F2"/>
    <w:rsid w:val="7F177D0A"/>
    <w:rsid w:val="7F1A0E5F"/>
    <w:rsid w:val="7F758A95"/>
    <w:rsid w:val="7FADE5BE"/>
    <w:rsid w:val="7FAF2C24"/>
    <w:rsid w:val="7FCBF5D6"/>
    <w:rsid w:val="7FDD63C7"/>
    <w:rsid w:val="7FF120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0C4C5"/>
  <w15:chartTrackingRefBased/>
  <w15:docId w15:val="{A137412B-8520-420C-8B5E-55C69049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F85"/>
    <w:rPr>
      <w:lang w:val="en-CA"/>
    </w:rPr>
  </w:style>
  <w:style w:type="paragraph" w:styleId="Heading1">
    <w:name w:val="heading 1"/>
    <w:basedOn w:val="Normal"/>
    <w:next w:val="Normal"/>
    <w:link w:val="Heading1Char"/>
    <w:uiPriority w:val="9"/>
    <w:qFormat/>
    <w:rsid w:val="007F5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DF385C"/>
    <w:pPr>
      <w:keepNext w:val="0"/>
      <w:keepLines w:val="0"/>
      <w:widowControl w:val="0"/>
      <w:spacing w:before="0" w:line="240" w:lineRule="auto"/>
      <w:outlineLvl w:val="1"/>
    </w:pPr>
    <w:rPr>
      <w:rFonts w:ascii="Open Sans SemiBold" w:hAnsi="Open Sans SemiBold" w:cs="Open Sans SemiBold"/>
      <w:u w:val="single"/>
    </w:rPr>
  </w:style>
  <w:style w:type="paragraph" w:styleId="Heading3">
    <w:name w:val="heading 3"/>
    <w:basedOn w:val="Normal"/>
    <w:next w:val="Normal"/>
    <w:link w:val="Heading3Char"/>
    <w:uiPriority w:val="9"/>
    <w:unhideWhenUsed/>
    <w:qFormat/>
    <w:rsid w:val="007F5F85"/>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7F5F85"/>
    <w:pPr>
      <w:keepNext/>
      <w:keepLines/>
      <w:spacing w:before="40" w:after="0"/>
      <w:outlineLvl w:val="3"/>
    </w:pPr>
    <w:rPr>
      <w:i/>
      <w:iCs/>
    </w:rPr>
  </w:style>
  <w:style w:type="paragraph" w:styleId="Heading5">
    <w:name w:val="heading 5"/>
    <w:basedOn w:val="Normal"/>
    <w:next w:val="Normal"/>
    <w:link w:val="Heading5Char"/>
    <w:uiPriority w:val="9"/>
    <w:unhideWhenUsed/>
    <w:qFormat/>
    <w:rsid w:val="007F5F85"/>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7F5F85"/>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7F5F85"/>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7F5F8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F5F8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F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385C"/>
    <w:rPr>
      <w:rFonts w:ascii="Open Sans SemiBold" w:eastAsiaTheme="majorEastAsia" w:hAnsi="Open Sans SemiBold" w:cs="Open Sans SemiBold"/>
      <w:color w:val="2F5496" w:themeColor="accent1" w:themeShade="BF"/>
      <w:sz w:val="32"/>
      <w:szCs w:val="32"/>
      <w:u w:val="single"/>
    </w:rPr>
  </w:style>
  <w:style w:type="character" w:customStyle="1" w:styleId="Heading3Char">
    <w:name w:val="Heading 3 Char"/>
    <w:basedOn w:val="DefaultParagraphFont"/>
    <w:link w:val="Heading3"/>
    <w:uiPriority w:val="9"/>
    <w:rsid w:val="007F5F85"/>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rsid w:val="007F5F85"/>
    <w:rPr>
      <w:i/>
      <w:iCs/>
    </w:rPr>
  </w:style>
  <w:style w:type="character" w:customStyle="1" w:styleId="Heading5Char">
    <w:name w:val="Heading 5 Char"/>
    <w:basedOn w:val="DefaultParagraphFont"/>
    <w:link w:val="Heading5"/>
    <w:uiPriority w:val="9"/>
    <w:rsid w:val="007F5F85"/>
    <w:rPr>
      <w:color w:val="2F5496" w:themeColor="accent1" w:themeShade="BF"/>
    </w:rPr>
  </w:style>
  <w:style w:type="character" w:customStyle="1" w:styleId="Heading6Char">
    <w:name w:val="Heading 6 Char"/>
    <w:basedOn w:val="DefaultParagraphFont"/>
    <w:link w:val="Heading6"/>
    <w:uiPriority w:val="9"/>
    <w:semiHidden/>
    <w:rsid w:val="007F5F85"/>
    <w:rPr>
      <w:color w:val="1F3864" w:themeColor="accent1" w:themeShade="80"/>
    </w:rPr>
  </w:style>
  <w:style w:type="character" w:customStyle="1" w:styleId="Heading7Char">
    <w:name w:val="Heading 7 Char"/>
    <w:basedOn w:val="DefaultParagraphFont"/>
    <w:link w:val="Heading7"/>
    <w:uiPriority w:val="9"/>
    <w:semiHidden/>
    <w:rsid w:val="007F5F85"/>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7F5F85"/>
    <w:rPr>
      <w:color w:val="262626" w:themeColor="text1" w:themeTint="D9"/>
      <w:sz w:val="21"/>
      <w:szCs w:val="21"/>
    </w:rPr>
  </w:style>
  <w:style w:type="character" w:customStyle="1" w:styleId="Heading9Char">
    <w:name w:val="Heading 9 Char"/>
    <w:basedOn w:val="DefaultParagraphFont"/>
    <w:link w:val="Heading9"/>
    <w:uiPriority w:val="9"/>
    <w:semiHidden/>
    <w:rsid w:val="007F5F8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7F5F8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F5F8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F5F8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F5F8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F5F85"/>
    <w:rPr>
      <w:color w:val="5A5A5A" w:themeColor="text1" w:themeTint="A5"/>
      <w:spacing w:val="15"/>
    </w:rPr>
  </w:style>
  <w:style w:type="character" w:styleId="Strong">
    <w:name w:val="Strong"/>
    <w:basedOn w:val="DefaultParagraphFont"/>
    <w:uiPriority w:val="22"/>
    <w:qFormat/>
    <w:rsid w:val="007F5F85"/>
    <w:rPr>
      <w:b/>
      <w:bCs/>
      <w:color w:val="auto"/>
    </w:rPr>
  </w:style>
  <w:style w:type="character" w:styleId="Emphasis">
    <w:name w:val="Emphasis"/>
    <w:basedOn w:val="DefaultParagraphFont"/>
    <w:uiPriority w:val="20"/>
    <w:qFormat/>
    <w:rsid w:val="007F5F85"/>
    <w:rPr>
      <w:i/>
      <w:iCs/>
      <w:color w:val="auto"/>
    </w:rPr>
  </w:style>
  <w:style w:type="paragraph" w:styleId="NoSpacing">
    <w:name w:val="No Spacing"/>
    <w:uiPriority w:val="1"/>
    <w:qFormat/>
    <w:rsid w:val="007F5F85"/>
    <w:pPr>
      <w:spacing w:after="0" w:line="240" w:lineRule="auto"/>
    </w:pPr>
  </w:style>
  <w:style w:type="paragraph" w:styleId="Quote">
    <w:name w:val="Quote"/>
    <w:basedOn w:val="Normal"/>
    <w:next w:val="Normal"/>
    <w:link w:val="QuoteChar"/>
    <w:uiPriority w:val="29"/>
    <w:qFormat/>
    <w:rsid w:val="007F5F8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F5F85"/>
    <w:rPr>
      <w:i/>
      <w:iCs/>
      <w:color w:val="404040" w:themeColor="text1" w:themeTint="BF"/>
    </w:rPr>
  </w:style>
  <w:style w:type="paragraph" w:styleId="IntenseQuote">
    <w:name w:val="Intense Quote"/>
    <w:basedOn w:val="Normal"/>
    <w:next w:val="Normal"/>
    <w:link w:val="IntenseQuoteChar"/>
    <w:uiPriority w:val="30"/>
    <w:qFormat/>
    <w:rsid w:val="007F5F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5F85"/>
    <w:rPr>
      <w:i/>
      <w:iCs/>
      <w:color w:val="4472C4" w:themeColor="accent1"/>
    </w:rPr>
  </w:style>
  <w:style w:type="character" w:styleId="SubtleEmphasis">
    <w:name w:val="Subtle Emphasis"/>
    <w:basedOn w:val="DefaultParagraphFont"/>
    <w:uiPriority w:val="19"/>
    <w:qFormat/>
    <w:rsid w:val="007F5F85"/>
    <w:rPr>
      <w:i/>
      <w:iCs/>
      <w:color w:val="404040" w:themeColor="text1" w:themeTint="BF"/>
    </w:rPr>
  </w:style>
  <w:style w:type="character" w:styleId="IntenseEmphasis">
    <w:name w:val="Intense Emphasis"/>
    <w:basedOn w:val="DefaultParagraphFont"/>
    <w:uiPriority w:val="21"/>
    <w:qFormat/>
    <w:rsid w:val="007F5F85"/>
    <w:rPr>
      <w:i/>
      <w:iCs/>
      <w:color w:val="4472C4" w:themeColor="accent1"/>
    </w:rPr>
  </w:style>
  <w:style w:type="character" w:styleId="SubtleReference">
    <w:name w:val="Subtle Reference"/>
    <w:basedOn w:val="DefaultParagraphFont"/>
    <w:uiPriority w:val="31"/>
    <w:qFormat/>
    <w:rsid w:val="007F5F85"/>
    <w:rPr>
      <w:smallCaps/>
      <w:color w:val="404040" w:themeColor="text1" w:themeTint="BF"/>
    </w:rPr>
  </w:style>
  <w:style w:type="character" w:styleId="IntenseReference">
    <w:name w:val="Intense Reference"/>
    <w:basedOn w:val="DefaultParagraphFont"/>
    <w:uiPriority w:val="32"/>
    <w:qFormat/>
    <w:rsid w:val="007F5F85"/>
    <w:rPr>
      <w:b/>
      <w:bCs/>
      <w:smallCaps/>
      <w:color w:val="4472C4" w:themeColor="accent1"/>
      <w:spacing w:val="5"/>
    </w:rPr>
  </w:style>
  <w:style w:type="character" w:styleId="BookTitle">
    <w:name w:val="Book Title"/>
    <w:basedOn w:val="DefaultParagraphFont"/>
    <w:uiPriority w:val="33"/>
    <w:qFormat/>
    <w:rsid w:val="007F5F85"/>
    <w:rPr>
      <w:b/>
      <w:bCs/>
      <w:i/>
      <w:iCs/>
      <w:spacing w:val="5"/>
    </w:rPr>
  </w:style>
  <w:style w:type="paragraph" w:styleId="TOCHeading">
    <w:name w:val="TOC Heading"/>
    <w:basedOn w:val="Heading1"/>
    <w:next w:val="Normal"/>
    <w:uiPriority w:val="39"/>
    <w:semiHidden/>
    <w:unhideWhenUsed/>
    <w:qFormat/>
    <w:rsid w:val="007F5F85"/>
    <w:pPr>
      <w:outlineLvl w:val="9"/>
    </w:pPr>
  </w:style>
  <w:style w:type="paragraph" w:styleId="Header">
    <w:name w:val="header"/>
    <w:basedOn w:val="Normal"/>
    <w:link w:val="HeaderChar"/>
    <w:uiPriority w:val="99"/>
    <w:unhideWhenUsed/>
    <w:rsid w:val="00E7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9D"/>
  </w:style>
  <w:style w:type="paragraph" w:styleId="Footer">
    <w:name w:val="footer"/>
    <w:basedOn w:val="Normal"/>
    <w:link w:val="FooterChar"/>
    <w:uiPriority w:val="99"/>
    <w:unhideWhenUsed/>
    <w:rsid w:val="00E7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9D"/>
  </w:style>
  <w:style w:type="character" w:styleId="PlaceholderText">
    <w:name w:val="Placeholder Text"/>
    <w:basedOn w:val="DefaultParagraphFont"/>
    <w:uiPriority w:val="99"/>
    <w:semiHidden/>
    <w:rsid w:val="006C2907"/>
    <w:rPr>
      <w:color w:val="808080"/>
    </w:rPr>
  </w:style>
  <w:style w:type="character" w:styleId="CommentReference">
    <w:name w:val="annotation reference"/>
    <w:basedOn w:val="DefaultParagraphFont"/>
    <w:uiPriority w:val="99"/>
    <w:semiHidden/>
    <w:unhideWhenUsed/>
    <w:rsid w:val="00A476F5"/>
    <w:rPr>
      <w:sz w:val="16"/>
      <w:szCs w:val="16"/>
    </w:rPr>
  </w:style>
  <w:style w:type="paragraph" w:styleId="CommentText">
    <w:name w:val="annotation text"/>
    <w:basedOn w:val="Normal"/>
    <w:link w:val="CommentTextChar"/>
    <w:uiPriority w:val="99"/>
    <w:unhideWhenUsed/>
    <w:rsid w:val="00A476F5"/>
    <w:pPr>
      <w:spacing w:line="240" w:lineRule="auto"/>
    </w:pPr>
    <w:rPr>
      <w:sz w:val="20"/>
      <w:szCs w:val="20"/>
    </w:rPr>
  </w:style>
  <w:style w:type="character" w:customStyle="1" w:styleId="CommentTextChar">
    <w:name w:val="Comment Text Char"/>
    <w:basedOn w:val="DefaultParagraphFont"/>
    <w:link w:val="CommentText"/>
    <w:uiPriority w:val="99"/>
    <w:rsid w:val="00A476F5"/>
    <w:rPr>
      <w:sz w:val="20"/>
      <w:szCs w:val="20"/>
    </w:rPr>
  </w:style>
  <w:style w:type="paragraph" w:styleId="CommentSubject">
    <w:name w:val="annotation subject"/>
    <w:basedOn w:val="CommentText"/>
    <w:next w:val="CommentText"/>
    <w:link w:val="CommentSubjectChar"/>
    <w:uiPriority w:val="99"/>
    <w:semiHidden/>
    <w:unhideWhenUsed/>
    <w:rsid w:val="00A476F5"/>
    <w:rPr>
      <w:b/>
      <w:bCs/>
    </w:rPr>
  </w:style>
  <w:style w:type="character" w:customStyle="1" w:styleId="CommentSubjectChar">
    <w:name w:val="Comment Subject Char"/>
    <w:basedOn w:val="CommentTextChar"/>
    <w:link w:val="CommentSubject"/>
    <w:uiPriority w:val="99"/>
    <w:semiHidden/>
    <w:rsid w:val="00A476F5"/>
    <w:rPr>
      <w:b/>
      <w:bCs/>
      <w:sz w:val="20"/>
      <w:szCs w:val="20"/>
    </w:rPr>
  </w:style>
  <w:style w:type="table" w:styleId="TableGrid">
    <w:name w:val="Table Grid"/>
    <w:basedOn w:val="TableNormal"/>
    <w:uiPriority w:val="39"/>
    <w:rsid w:val="00410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0138"/>
    <w:pPr>
      <w:spacing w:after="0" w:line="240" w:lineRule="auto"/>
    </w:pPr>
  </w:style>
  <w:style w:type="paragraph" w:styleId="ListParagraph">
    <w:name w:val="List Paragraph"/>
    <w:basedOn w:val="Normal"/>
    <w:uiPriority w:val="34"/>
    <w:qFormat/>
    <w:rsid w:val="00D60138"/>
    <w:pPr>
      <w:ind w:left="720"/>
      <w:contextualSpacing/>
    </w:pPr>
  </w:style>
  <w:style w:type="table" w:customStyle="1" w:styleId="TableGrid1">
    <w:name w:val="Table Grid1"/>
    <w:basedOn w:val="TableNormal"/>
    <w:next w:val="TableGrid"/>
    <w:uiPriority w:val="39"/>
    <w:rsid w:val="00B93E6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4402"/>
    <w:rPr>
      <w:rFonts w:ascii="HelveticaNeueLTStd-Lt" w:hAnsi="HelveticaNeueLTStd-Lt" w:hint="default"/>
      <w:b w:val="0"/>
      <w:bCs w:val="0"/>
      <w:i w:val="0"/>
      <w:iCs w:val="0"/>
      <w:color w:val="231F20"/>
      <w:sz w:val="18"/>
      <w:szCs w:val="18"/>
    </w:rPr>
  </w:style>
  <w:style w:type="character" w:customStyle="1" w:styleId="ng-isolate-scope">
    <w:name w:val="ng-isolate-scope"/>
    <w:basedOn w:val="DefaultParagraphFont"/>
    <w:rsid w:val="00D04DCB"/>
  </w:style>
  <w:style w:type="character" w:styleId="Hyperlink">
    <w:name w:val="Hyperlink"/>
    <w:basedOn w:val="DefaultParagraphFont"/>
    <w:uiPriority w:val="99"/>
    <w:unhideWhenUsed/>
    <w:rsid w:val="00D04DCB"/>
    <w:rPr>
      <w:color w:val="0000FF"/>
      <w:u w:val="single"/>
    </w:rPr>
  </w:style>
  <w:style w:type="paragraph" w:customStyle="1" w:styleId="citation">
    <w:name w:val="citation"/>
    <w:basedOn w:val="Normal"/>
    <w:qFormat/>
    <w:rsid w:val="00D2377A"/>
    <w:pPr>
      <w:keepLines/>
      <w:spacing w:before="120" w:after="120" w:line="240" w:lineRule="auto"/>
      <w:ind w:left="360" w:hanging="360"/>
    </w:pPr>
    <w:rPr>
      <w:rFonts w:ascii="Arial" w:eastAsia="Times New Roman" w:hAnsi="Arial" w:cs="Times New Roman"/>
    </w:rPr>
  </w:style>
  <w:style w:type="character" w:styleId="UnresolvedMention">
    <w:name w:val="Unresolved Mention"/>
    <w:basedOn w:val="DefaultParagraphFont"/>
    <w:uiPriority w:val="99"/>
    <w:semiHidden/>
    <w:unhideWhenUsed/>
    <w:rsid w:val="005169D1"/>
    <w:rPr>
      <w:color w:val="605E5C"/>
      <w:shd w:val="clear" w:color="auto" w:fill="E1DFDD"/>
    </w:rPr>
  </w:style>
  <w:style w:type="paragraph" w:styleId="BalloonText">
    <w:name w:val="Balloon Text"/>
    <w:basedOn w:val="Normal"/>
    <w:link w:val="BalloonTextChar"/>
    <w:uiPriority w:val="99"/>
    <w:semiHidden/>
    <w:unhideWhenUsed/>
    <w:rsid w:val="00E61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244"/>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994">
      <w:bodyDiv w:val="1"/>
      <w:marLeft w:val="0"/>
      <w:marRight w:val="0"/>
      <w:marTop w:val="0"/>
      <w:marBottom w:val="0"/>
      <w:divBdr>
        <w:top w:val="none" w:sz="0" w:space="0" w:color="auto"/>
        <w:left w:val="none" w:sz="0" w:space="0" w:color="auto"/>
        <w:bottom w:val="none" w:sz="0" w:space="0" w:color="auto"/>
        <w:right w:val="none" w:sz="0" w:space="0" w:color="auto"/>
      </w:divBdr>
    </w:div>
    <w:div w:id="545609305">
      <w:bodyDiv w:val="1"/>
      <w:marLeft w:val="0"/>
      <w:marRight w:val="0"/>
      <w:marTop w:val="0"/>
      <w:marBottom w:val="0"/>
      <w:divBdr>
        <w:top w:val="none" w:sz="0" w:space="0" w:color="auto"/>
        <w:left w:val="none" w:sz="0" w:space="0" w:color="auto"/>
        <w:bottom w:val="none" w:sz="0" w:space="0" w:color="auto"/>
        <w:right w:val="none" w:sz="0" w:space="0" w:color="auto"/>
      </w:divBdr>
    </w:div>
    <w:div w:id="554584680">
      <w:bodyDiv w:val="1"/>
      <w:marLeft w:val="0"/>
      <w:marRight w:val="0"/>
      <w:marTop w:val="0"/>
      <w:marBottom w:val="0"/>
      <w:divBdr>
        <w:top w:val="none" w:sz="0" w:space="0" w:color="auto"/>
        <w:left w:val="none" w:sz="0" w:space="0" w:color="auto"/>
        <w:bottom w:val="none" w:sz="0" w:space="0" w:color="auto"/>
        <w:right w:val="none" w:sz="0" w:space="0" w:color="auto"/>
      </w:divBdr>
    </w:div>
    <w:div w:id="1000305146">
      <w:bodyDiv w:val="1"/>
      <w:marLeft w:val="0"/>
      <w:marRight w:val="0"/>
      <w:marTop w:val="0"/>
      <w:marBottom w:val="0"/>
      <w:divBdr>
        <w:top w:val="none" w:sz="0" w:space="0" w:color="auto"/>
        <w:left w:val="none" w:sz="0" w:space="0" w:color="auto"/>
        <w:bottom w:val="none" w:sz="0" w:space="0" w:color="auto"/>
        <w:right w:val="none" w:sz="0" w:space="0" w:color="auto"/>
      </w:divBdr>
    </w:div>
    <w:div w:id="1041245254">
      <w:bodyDiv w:val="1"/>
      <w:marLeft w:val="0"/>
      <w:marRight w:val="0"/>
      <w:marTop w:val="0"/>
      <w:marBottom w:val="0"/>
      <w:divBdr>
        <w:top w:val="none" w:sz="0" w:space="0" w:color="auto"/>
        <w:left w:val="none" w:sz="0" w:space="0" w:color="auto"/>
        <w:bottom w:val="none" w:sz="0" w:space="0" w:color="auto"/>
        <w:right w:val="none" w:sz="0" w:space="0" w:color="auto"/>
      </w:divBdr>
    </w:div>
    <w:div w:id="1122382647">
      <w:bodyDiv w:val="1"/>
      <w:marLeft w:val="0"/>
      <w:marRight w:val="0"/>
      <w:marTop w:val="0"/>
      <w:marBottom w:val="0"/>
      <w:divBdr>
        <w:top w:val="none" w:sz="0" w:space="0" w:color="auto"/>
        <w:left w:val="none" w:sz="0" w:space="0" w:color="auto"/>
        <w:bottom w:val="none" w:sz="0" w:space="0" w:color="auto"/>
        <w:right w:val="none" w:sz="0" w:space="0" w:color="auto"/>
      </w:divBdr>
    </w:div>
    <w:div w:id="1150361460">
      <w:bodyDiv w:val="1"/>
      <w:marLeft w:val="0"/>
      <w:marRight w:val="0"/>
      <w:marTop w:val="0"/>
      <w:marBottom w:val="0"/>
      <w:divBdr>
        <w:top w:val="none" w:sz="0" w:space="0" w:color="auto"/>
        <w:left w:val="none" w:sz="0" w:space="0" w:color="auto"/>
        <w:bottom w:val="none" w:sz="0" w:space="0" w:color="auto"/>
        <w:right w:val="none" w:sz="0" w:space="0" w:color="auto"/>
      </w:divBdr>
      <w:divsChild>
        <w:div w:id="1149595126">
          <w:marLeft w:val="0"/>
          <w:marRight w:val="0"/>
          <w:marTop w:val="0"/>
          <w:marBottom w:val="0"/>
          <w:divBdr>
            <w:top w:val="none" w:sz="0" w:space="0" w:color="auto"/>
            <w:left w:val="none" w:sz="0" w:space="0" w:color="auto"/>
            <w:bottom w:val="none" w:sz="0" w:space="0" w:color="auto"/>
            <w:right w:val="none" w:sz="0" w:space="0" w:color="auto"/>
          </w:divBdr>
        </w:div>
        <w:div w:id="268129113">
          <w:marLeft w:val="0"/>
          <w:marRight w:val="0"/>
          <w:marTop w:val="0"/>
          <w:marBottom w:val="0"/>
          <w:divBdr>
            <w:top w:val="none" w:sz="0" w:space="0" w:color="auto"/>
            <w:left w:val="none" w:sz="0" w:space="0" w:color="auto"/>
            <w:bottom w:val="none" w:sz="0" w:space="0" w:color="auto"/>
            <w:right w:val="none" w:sz="0" w:space="0" w:color="auto"/>
          </w:divBdr>
        </w:div>
        <w:div w:id="633877810">
          <w:marLeft w:val="0"/>
          <w:marRight w:val="0"/>
          <w:marTop w:val="0"/>
          <w:marBottom w:val="0"/>
          <w:divBdr>
            <w:top w:val="none" w:sz="0" w:space="0" w:color="auto"/>
            <w:left w:val="none" w:sz="0" w:space="0" w:color="auto"/>
            <w:bottom w:val="none" w:sz="0" w:space="0" w:color="auto"/>
            <w:right w:val="none" w:sz="0" w:space="0" w:color="auto"/>
          </w:divBdr>
        </w:div>
        <w:div w:id="1765998675">
          <w:marLeft w:val="0"/>
          <w:marRight w:val="0"/>
          <w:marTop w:val="0"/>
          <w:marBottom w:val="0"/>
          <w:divBdr>
            <w:top w:val="none" w:sz="0" w:space="0" w:color="auto"/>
            <w:left w:val="none" w:sz="0" w:space="0" w:color="auto"/>
            <w:bottom w:val="none" w:sz="0" w:space="0" w:color="auto"/>
            <w:right w:val="none" w:sz="0" w:space="0" w:color="auto"/>
          </w:divBdr>
        </w:div>
        <w:div w:id="2031222886">
          <w:marLeft w:val="0"/>
          <w:marRight w:val="0"/>
          <w:marTop w:val="0"/>
          <w:marBottom w:val="0"/>
          <w:divBdr>
            <w:top w:val="none" w:sz="0" w:space="0" w:color="auto"/>
            <w:left w:val="none" w:sz="0" w:space="0" w:color="auto"/>
            <w:bottom w:val="none" w:sz="0" w:space="0" w:color="auto"/>
            <w:right w:val="none" w:sz="0" w:space="0" w:color="auto"/>
          </w:divBdr>
        </w:div>
        <w:div w:id="1375303584">
          <w:marLeft w:val="0"/>
          <w:marRight w:val="0"/>
          <w:marTop w:val="0"/>
          <w:marBottom w:val="0"/>
          <w:divBdr>
            <w:top w:val="none" w:sz="0" w:space="0" w:color="auto"/>
            <w:left w:val="none" w:sz="0" w:space="0" w:color="auto"/>
            <w:bottom w:val="none" w:sz="0" w:space="0" w:color="auto"/>
            <w:right w:val="none" w:sz="0" w:space="0" w:color="auto"/>
          </w:divBdr>
        </w:div>
        <w:div w:id="1688172140">
          <w:marLeft w:val="0"/>
          <w:marRight w:val="0"/>
          <w:marTop w:val="0"/>
          <w:marBottom w:val="0"/>
          <w:divBdr>
            <w:top w:val="none" w:sz="0" w:space="0" w:color="auto"/>
            <w:left w:val="none" w:sz="0" w:space="0" w:color="auto"/>
            <w:bottom w:val="none" w:sz="0" w:space="0" w:color="auto"/>
            <w:right w:val="none" w:sz="0" w:space="0" w:color="auto"/>
          </w:divBdr>
        </w:div>
        <w:div w:id="953705825">
          <w:marLeft w:val="0"/>
          <w:marRight w:val="0"/>
          <w:marTop w:val="0"/>
          <w:marBottom w:val="0"/>
          <w:divBdr>
            <w:top w:val="none" w:sz="0" w:space="0" w:color="auto"/>
            <w:left w:val="none" w:sz="0" w:space="0" w:color="auto"/>
            <w:bottom w:val="none" w:sz="0" w:space="0" w:color="auto"/>
            <w:right w:val="none" w:sz="0" w:space="0" w:color="auto"/>
          </w:divBdr>
        </w:div>
        <w:div w:id="1656641088">
          <w:marLeft w:val="0"/>
          <w:marRight w:val="0"/>
          <w:marTop w:val="0"/>
          <w:marBottom w:val="0"/>
          <w:divBdr>
            <w:top w:val="none" w:sz="0" w:space="0" w:color="auto"/>
            <w:left w:val="none" w:sz="0" w:space="0" w:color="auto"/>
            <w:bottom w:val="none" w:sz="0" w:space="0" w:color="auto"/>
            <w:right w:val="none" w:sz="0" w:space="0" w:color="auto"/>
          </w:divBdr>
        </w:div>
        <w:div w:id="1949967084">
          <w:marLeft w:val="0"/>
          <w:marRight w:val="0"/>
          <w:marTop w:val="0"/>
          <w:marBottom w:val="0"/>
          <w:divBdr>
            <w:top w:val="none" w:sz="0" w:space="0" w:color="auto"/>
            <w:left w:val="none" w:sz="0" w:space="0" w:color="auto"/>
            <w:bottom w:val="none" w:sz="0" w:space="0" w:color="auto"/>
            <w:right w:val="none" w:sz="0" w:space="0" w:color="auto"/>
          </w:divBdr>
        </w:div>
        <w:div w:id="1438408316">
          <w:marLeft w:val="0"/>
          <w:marRight w:val="0"/>
          <w:marTop w:val="0"/>
          <w:marBottom w:val="0"/>
          <w:divBdr>
            <w:top w:val="none" w:sz="0" w:space="0" w:color="auto"/>
            <w:left w:val="none" w:sz="0" w:space="0" w:color="auto"/>
            <w:bottom w:val="none" w:sz="0" w:space="0" w:color="auto"/>
            <w:right w:val="none" w:sz="0" w:space="0" w:color="auto"/>
          </w:divBdr>
        </w:div>
        <w:div w:id="1477070680">
          <w:marLeft w:val="0"/>
          <w:marRight w:val="0"/>
          <w:marTop w:val="0"/>
          <w:marBottom w:val="0"/>
          <w:divBdr>
            <w:top w:val="none" w:sz="0" w:space="0" w:color="auto"/>
            <w:left w:val="none" w:sz="0" w:space="0" w:color="auto"/>
            <w:bottom w:val="none" w:sz="0" w:space="0" w:color="auto"/>
            <w:right w:val="none" w:sz="0" w:space="0" w:color="auto"/>
          </w:divBdr>
        </w:div>
        <w:div w:id="1994525205">
          <w:marLeft w:val="0"/>
          <w:marRight w:val="0"/>
          <w:marTop w:val="0"/>
          <w:marBottom w:val="0"/>
          <w:divBdr>
            <w:top w:val="none" w:sz="0" w:space="0" w:color="auto"/>
            <w:left w:val="none" w:sz="0" w:space="0" w:color="auto"/>
            <w:bottom w:val="none" w:sz="0" w:space="0" w:color="auto"/>
            <w:right w:val="none" w:sz="0" w:space="0" w:color="auto"/>
          </w:divBdr>
        </w:div>
      </w:divsChild>
    </w:div>
    <w:div w:id="1364598218">
      <w:bodyDiv w:val="1"/>
      <w:marLeft w:val="0"/>
      <w:marRight w:val="0"/>
      <w:marTop w:val="0"/>
      <w:marBottom w:val="0"/>
      <w:divBdr>
        <w:top w:val="none" w:sz="0" w:space="0" w:color="auto"/>
        <w:left w:val="none" w:sz="0" w:space="0" w:color="auto"/>
        <w:bottom w:val="none" w:sz="0" w:space="0" w:color="auto"/>
        <w:right w:val="none" w:sz="0" w:space="0" w:color="auto"/>
      </w:divBdr>
    </w:div>
    <w:div w:id="1525168502">
      <w:bodyDiv w:val="1"/>
      <w:marLeft w:val="0"/>
      <w:marRight w:val="0"/>
      <w:marTop w:val="0"/>
      <w:marBottom w:val="0"/>
      <w:divBdr>
        <w:top w:val="none" w:sz="0" w:space="0" w:color="auto"/>
        <w:left w:val="none" w:sz="0" w:space="0" w:color="auto"/>
        <w:bottom w:val="none" w:sz="0" w:space="0" w:color="auto"/>
        <w:right w:val="none" w:sz="0" w:space="0" w:color="auto"/>
      </w:divBdr>
    </w:div>
    <w:div w:id="1778674539">
      <w:bodyDiv w:val="1"/>
      <w:marLeft w:val="0"/>
      <w:marRight w:val="0"/>
      <w:marTop w:val="0"/>
      <w:marBottom w:val="0"/>
      <w:divBdr>
        <w:top w:val="none" w:sz="0" w:space="0" w:color="auto"/>
        <w:left w:val="none" w:sz="0" w:space="0" w:color="auto"/>
        <w:bottom w:val="none" w:sz="0" w:space="0" w:color="auto"/>
        <w:right w:val="none" w:sz="0" w:space="0" w:color="auto"/>
      </w:divBdr>
    </w:div>
    <w:div w:id="18854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E686-DE72-4EBF-9BD3-2F9915BE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Tekatch</dc:creator>
  <cp:keywords/>
  <dc:description/>
  <cp:lastModifiedBy>Rosenfeld, Jordan WLRS:EX</cp:lastModifiedBy>
  <cp:revision>9</cp:revision>
  <dcterms:created xsi:type="dcterms:W3CDTF">2026-05-19T01:43:00Z</dcterms:created>
  <dcterms:modified xsi:type="dcterms:W3CDTF">2026-05-19T19:44:00Z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d5e9f445-463c-3879-bd3d-643ac044457e</vt:lpwstr>
  </property>
  <property fmtid="{D5CDD505-2E9C-101B-9397-08002B2CF9AE}" pid="4" name="Mendeley Citation Style_1">
    <vt:lpwstr>http://www.zotero.org/styles/ecology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http://www.zotero.org/styles/canadian-journal-of-fisheries-and-aquatic-sciences</vt:lpwstr>
  </property>
  <property fmtid="{D5CDD505-2E9C-101B-9397-08002B2CF9AE}" pid="12" name="Mendeley Recent Style Name 3_1">
    <vt:lpwstr>Canadian Journal of Fisheries and Aquatic Sciences</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http://www.zotero.org/styles/ecology</vt:lpwstr>
  </property>
  <property fmtid="{D5CDD505-2E9C-101B-9397-08002B2CF9AE}" pid="18" name="Mendeley Recent Style Name 6_1">
    <vt:lpwstr>Ecology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